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b w:val="1"/>
          <w:sz w:val="32"/>
          <w:szCs w:val="32"/>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2"/>
          <w:szCs w:val="32"/>
        </w:rPr>
      </w:pPr>
      <w:r w:rsidDel="00000000" w:rsidR="00000000" w:rsidRPr="00000000">
        <w:rPr>
          <w:rtl w:val="0"/>
        </w:rPr>
      </w:r>
    </w:p>
    <w:p w:rsidR="00000000" w:rsidDel="00000000" w:rsidP="00000000" w:rsidRDefault="00000000" w:rsidRPr="00000000" w14:paraId="00000003">
      <w:pPr>
        <w:spacing w:after="200" w:line="276" w:lineRule="auto"/>
        <w:jc w:val="center"/>
        <w:rPr>
          <w:b w:val="1"/>
          <w:sz w:val="32"/>
          <w:szCs w:val="32"/>
        </w:rPr>
      </w:pPr>
      <w:r w:rsidDel="00000000" w:rsidR="00000000" w:rsidRPr="00000000">
        <w:rPr>
          <w:b w:val="1"/>
          <w:sz w:val="32"/>
          <w:szCs w:val="32"/>
          <w:rtl w:val="0"/>
        </w:rPr>
        <w:t xml:space="preserve">Complaints Procedure</w:t>
      </w:r>
    </w:p>
    <w:p w:rsidR="00000000" w:rsidDel="00000000" w:rsidP="00000000" w:rsidRDefault="00000000" w:rsidRPr="00000000" w14:paraId="00000004">
      <w:pPr>
        <w:spacing w:after="200" w:line="276" w:lineRule="auto"/>
        <w:jc w:val="both"/>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A complaint is an expression of dissatisfaction concerning Notting Hill College’s product or service. Notting Hill College takes all complaints extremely seriously and all staff are trained to rectify any problem as soon as it is brought to their attention and are committed to doing this to the best of their ability. </w:t>
      </w:r>
    </w:p>
    <w:p w:rsidR="00000000" w:rsidDel="00000000" w:rsidP="00000000" w:rsidRDefault="00000000" w:rsidRPr="00000000" w14:paraId="00000005">
      <w:pPr>
        <w:spacing w:after="200" w:line="240" w:lineRule="auto"/>
        <w:jc w:val="both"/>
        <w:rPr>
          <w:sz w:val="24"/>
          <w:szCs w:val="24"/>
        </w:rPr>
      </w:pPr>
      <w:r w:rsidDel="00000000" w:rsidR="00000000" w:rsidRPr="00000000">
        <w:rPr>
          <w:sz w:val="24"/>
          <w:szCs w:val="24"/>
          <w:rtl w:val="0"/>
        </w:rPr>
        <w:t xml:space="preserve">It is recognised that a customer who has a complaint dealt with to their complete satisfaction is likely to become a repeat customer. Therefore, we ask that if you are dissatisfied with the service you have received, you bring this to our attention as soon as possible by speaking to your course assessor in the first instance. </w:t>
      </w:r>
    </w:p>
    <w:p w:rsidR="00000000" w:rsidDel="00000000" w:rsidP="00000000" w:rsidRDefault="00000000" w:rsidRPr="00000000" w14:paraId="00000006">
      <w:pPr>
        <w:spacing w:after="200" w:line="240" w:lineRule="auto"/>
        <w:jc w:val="both"/>
        <w:rPr>
          <w:sz w:val="24"/>
          <w:szCs w:val="24"/>
        </w:rPr>
      </w:pPr>
      <w:r w:rsidDel="00000000" w:rsidR="00000000" w:rsidRPr="00000000">
        <w:rPr>
          <w:sz w:val="24"/>
          <w:szCs w:val="24"/>
          <w:rtl w:val="0"/>
        </w:rPr>
        <w:t xml:space="preserve">Should this fail to provide you with a satisfactory resolution or you feel it is inappropriate to address your complaint with the assessor, then please contact the IQA via 1 of the following options:</w:t>
      </w:r>
    </w:p>
    <w:p w:rsidR="00000000" w:rsidDel="00000000" w:rsidP="00000000" w:rsidRDefault="00000000" w:rsidRPr="00000000" w14:paraId="00000007">
      <w:pPr>
        <w:spacing w:after="200" w:line="240" w:lineRule="auto"/>
        <w:jc w:val="both"/>
        <w:rPr>
          <w:sz w:val="24"/>
          <w:szCs w:val="24"/>
        </w:rPr>
      </w:pPr>
      <w:r w:rsidDel="00000000" w:rsidR="00000000" w:rsidRPr="00000000">
        <w:rPr>
          <w:sz w:val="24"/>
          <w:szCs w:val="24"/>
          <w:rtl w:val="0"/>
        </w:rPr>
        <w:br w:type="textWrapping"/>
        <w:t xml:space="preserve">Call: 0161 637 5960</w:t>
      </w:r>
    </w:p>
    <w:p w:rsidR="00000000" w:rsidDel="00000000" w:rsidP="00000000" w:rsidRDefault="00000000" w:rsidRPr="00000000" w14:paraId="00000008">
      <w:pPr>
        <w:spacing w:after="200" w:line="240" w:lineRule="auto"/>
        <w:jc w:val="both"/>
        <w:rPr>
          <w:i w:val="1"/>
          <w:sz w:val="24"/>
          <w:szCs w:val="24"/>
        </w:rPr>
      </w:pPr>
      <w:r w:rsidDel="00000000" w:rsidR="00000000" w:rsidRPr="00000000">
        <w:rPr>
          <w:sz w:val="24"/>
          <w:szCs w:val="24"/>
          <w:rtl w:val="0"/>
        </w:rPr>
        <w:t xml:space="preserve">E-mail: </w:t>
      </w:r>
      <w:r w:rsidDel="00000000" w:rsidR="00000000" w:rsidRPr="00000000">
        <w:rPr>
          <w:i w:val="1"/>
          <w:sz w:val="24"/>
          <w:szCs w:val="24"/>
          <w:rtl w:val="0"/>
        </w:rPr>
        <w:t xml:space="preserve">a.m@nottinghillcollege.net</w:t>
      </w:r>
    </w:p>
    <w:p w:rsidR="00000000" w:rsidDel="00000000" w:rsidP="00000000" w:rsidRDefault="00000000" w:rsidRPr="00000000" w14:paraId="00000009">
      <w:pPr>
        <w:spacing w:after="200" w:line="240" w:lineRule="auto"/>
        <w:jc w:val="both"/>
        <w:rPr>
          <w:sz w:val="24"/>
          <w:szCs w:val="24"/>
        </w:rPr>
      </w:pPr>
      <w:r w:rsidDel="00000000" w:rsidR="00000000" w:rsidRPr="00000000">
        <w:rPr>
          <w:sz w:val="24"/>
          <w:szCs w:val="24"/>
          <w:rtl w:val="0"/>
        </w:rPr>
        <w:t xml:space="preserve">Write to: Amira Madkour</w:t>
      </w:r>
    </w:p>
    <w:p w:rsidR="00000000" w:rsidDel="00000000" w:rsidP="00000000" w:rsidRDefault="00000000" w:rsidRPr="00000000" w14:paraId="0000000A">
      <w:pPr>
        <w:spacing w:after="200" w:line="240" w:lineRule="auto"/>
        <w:jc w:val="both"/>
        <w:rPr>
          <w:sz w:val="24"/>
          <w:szCs w:val="24"/>
        </w:rPr>
      </w:pPr>
      <w:r w:rsidDel="00000000" w:rsidR="00000000" w:rsidRPr="00000000">
        <w:rPr>
          <w:sz w:val="24"/>
          <w:szCs w:val="24"/>
          <w:rtl w:val="0"/>
        </w:rPr>
        <w:t xml:space="preserve">When you contact us, please give us your full name, contact details, and a daytime telephone number, along with:</w:t>
      </w:r>
    </w:p>
    <w:p w:rsidR="00000000" w:rsidDel="00000000" w:rsidP="00000000" w:rsidRDefault="00000000" w:rsidRPr="00000000" w14:paraId="0000000B">
      <w:pPr>
        <w:numPr>
          <w:ilvl w:val="0"/>
          <w:numId w:val="1"/>
        </w:numPr>
        <w:spacing w:after="0" w:line="240" w:lineRule="auto"/>
        <w:ind w:left="720" w:hanging="360"/>
        <w:jc w:val="both"/>
        <w:rPr>
          <w:sz w:val="24"/>
          <w:szCs w:val="24"/>
        </w:rPr>
      </w:pPr>
      <w:r w:rsidDel="00000000" w:rsidR="00000000" w:rsidRPr="00000000">
        <w:rPr>
          <w:sz w:val="24"/>
          <w:szCs w:val="24"/>
          <w:rtl w:val="0"/>
        </w:rPr>
        <w:t xml:space="preserve">a full description of your complaint </w:t>
        <w:br w:type="textWrapping"/>
        <w:t xml:space="preserve">(including the subject matter and dates and times, if known)</w:t>
      </w:r>
    </w:p>
    <w:p w:rsidR="00000000" w:rsidDel="00000000" w:rsidP="00000000" w:rsidRDefault="00000000" w:rsidRPr="00000000" w14:paraId="0000000C">
      <w:pPr>
        <w:numPr>
          <w:ilvl w:val="0"/>
          <w:numId w:val="1"/>
        </w:numPr>
        <w:spacing w:after="0" w:line="240" w:lineRule="auto"/>
        <w:ind w:left="720" w:hanging="360"/>
        <w:jc w:val="both"/>
        <w:rPr>
          <w:sz w:val="24"/>
          <w:szCs w:val="24"/>
        </w:rPr>
      </w:pPr>
      <w:r w:rsidDel="00000000" w:rsidR="00000000" w:rsidRPr="00000000">
        <w:rPr>
          <w:sz w:val="24"/>
          <w:szCs w:val="24"/>
          <w:rtl w:val="0"/>
        </w:rPr>
        <w:t xml:space="preserve">any names of the people you have dealt with so far</w:t>
      </w:r>
    </w:p>
    <w:p w:rsidR="00000000" w:rsidDel="00000000" w:rsidP="00000000" w:rsidRDefault="00000000" w:rsidRPr="00000000" w14:paraId="0000000D">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copies of any papers or letters to do with the complaint.</w:t>
      </w:r>
    </w:p>
    <w:p w:rsidR="00000000" w:rsidDel="00000000" w:rsidP="00000000" w:rsidRDefault="00000000" w:rsidRPr="00000000" w14:paraId="0000000E">
      <w:pPr>
        <w:spacing w:after="200" w:line="240" w:lineRule="auto"/>
        <w:jc w:val="both"/>
        <w:rPr>
          <w:sz w:val="24"/>
          <w:szCs w:val="24"/>
        </w:rPr>
      </w:pPr>
      <w:r w:rsidDel="00000000" w:rsidR="00000000" w:rsidRPr="00000000">
        <w:rPr>
          <w:sz w:val="24"/>
          <w:szCs w:val="24"/>
          <w:rtl w:val="0"/>
        </w:rPr>
        <w:t xml:space="preserve">Notting Hill College asks that you raise your complaint as soon as possible after the event so that we have the opportunity to investigate fully. We will acknowledge your complaint within 5 working days. </w:t>
      </w:r>
    </w:p>
    <w:p w:rsidR="00000000" w:rsidDel="00000000" w:rsidP="00000000" w:rsidRDefault="00000000" w:rsidRPr="00000000" w14:paraId="0000000F">
      <w:pPr>
        <w:spacing w:after="200" w:line="240" w:lineRule="auto"/>
        <w:jc w:val="both"/>
        <w:rPr>
          <w:sz w:val="24"/>
          <w:szCs w:val="24"/>
        </w:rPr>
      </w:pPr>
      <w:r w:rsidDel="00000000" w:rsidR="00000000" w:rsidRPr="00000000">
        <w:rPr>
          <w:sz w:val="24"/>
          <w:szCs w:val="24"/>
          <w:rtl w:val="0"/>
        </w:rPr>
        <w:t xml:space="preserve">The IQA will then investigate your complaint and respond to you within 5 working days.</w:t>
        <w:br w:type="textWrapping"/>
      </w:r>
    </w:p>
    <w:p w:rsidR="00000000" w:rsidDel="00000000" w:rsidP="00000000" w:rsidRDefault="00000000" w:rsidRPr="00000000" w14:paraId="00000010">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11">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13">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14">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15">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16">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17">
      <w:pPr>
        <w:spacing w:after="200" w:line="240" w:lineRule="auto"/>
        <w:jc w:val="both"/>
        <w:rPr>
          <w:b w:val="1"/>
          <w:sz w:val="28"/>
          <w:szCs w:val="28"/>
        </w:rPr>
      </w:pPr>
      <w:r w:rsidDel="00000000" w:rsidR="00000000" w:rsidRPr="00000000">
        <w:rPr>
          <w:b w:val="1"/>
          <w:sz w:val="28"/>
          <w:szCs w:val="28"/>
          <w:rtl w:val="0"/>
        </w:rPr>
        <w:t xml:space="preserve">Escalating your initial complaint if you remain dissatisfied </w:t>
      </w:r>
    </w:p>
    <w:p w:rsidR="00000000" w:rsidDel="00000000" w:rsidP="00000000" w:rsidRDefault="00000000" w:rsidRPr="00000000" w14:paraId="00000018">
      <w:pPr>
        <w:spacing w:after="200" w:line="240" w:lineRule="auto"/>
        <w:jc w:val="both"/>
        <w:rPr>
          <w:b w:val="1"/>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In the unlikely event that you remain unhappy after your complaint has been investigated and a decision reached, then you may escalate your complaint to our Customer Service Manager. Please include any further items for consideration and state clearly why you remain unhappy with the decision taken so far. The Customer Service Manager will investigate in full and respond to you within 5 working days.</w:t>
      </w:r>
      <w:r w:rsidDel="00000000" w:rsidR="00000000" w:rsidRPr="00000000">
        <w:rPr>
          <w:rtl w:val="0"/>
        </w:rPr>
      </w:r>
    </w:p>
    <w:p w:rsidR="00000000" w:rsidDel="00000000" w:rsidP="00000000" w:rsidRDefault="00000000" w:rsidRPr="00000000" w14:paraId="00000019">
      <w:pPr>
        <w:spacing w:after="200" w:line="240" w:lineRule="auto"/>
        <w:jc w:val="both"/>
        <w:rPr>
          <w:sz w:val="24"/>
          <w:szCs w:val="24"/>
        </w:rPr>
      </w:pPr>
      <w:r w:rsidDel="00000000" w:rsidR="00000000" w:rsidRPr="00000000">
        <w:rPr>
          <w:sz w:val="24"/>
          <w:szCs w:val="24"/>
          <w:rtl w:val="0"/>
        </w:rPr>
        <w:t xml:space="preserve">The Customer Service Manager can be contacted using the following:</w:t>
      </w:r>
    </w:p>
    <w:p w:rsidR="00000000" w:rsidDel="00000000" w:rsidP="00000000" w:rsidRDefault="00000000" w:rsidRPr="00000000" w14:paraId="0000001A">
      <w:pPr>
        <w:spacing w:after="200" w:line="240" w:lineRule="auto"/>
        <w:jc w:val="both"/>
        <w:rPr>
          <w:sz w:val="24"/>
          <w:szCs w:val="24"/>
        </w:rPr>
      </w:pPr>
      <w:r w:rsidDel="00000000" w:rsidR="00000000" w:rsidRPr="00000000">
        <w:rPr>
          <w:sz w:val="24"/>
          <w:szCs w:val="24"/>
          <w:rtl w:val="0"/>
        </w:rPr>
        <w:t xml:space="preserve">Call: 0161 877 1316</w:t>
      </w:r>
    </w:p>
    <w:p w:rsidR="00000000" w:rsidDel="00000000" w:rsidP="00000000" w:rsidRDefault="00000000" w:rsidRPr="00000000" w14:paraId="0000001B">
      <w:pPr>
        <w:spacing w:after="200" w:line="240" w:lineRule="auto"/>
        <w:jc w:val="both"/>
        <w:rPr>
          <w:i w:val="1"/>
          <w:sz w:val="24"/>
          <w:szCs w:val="24"/>
        </w:rPr>
      </w:pPr>
      <w:r w:rsidDel="00000000" w:rsidR="00000000" w:rsidRPr="00000000">
        <w:rPr>
          <w:sz w:val="24"/>
          <w:szCs w:val="24"/>
          <w:rtl w:val="0"/>
        </w:rPr>
        <w:t xml:space="preserve">E-mail: </w:t>
      </w:r>
      <w:r w:rsidDel="00000000" w:rsidR="00000000" w:rsidRPr="00000000">
        <w:rPr>
          <w:i w:val="1"/>
          <w:sz w:val="24"/>
          <w:szCs w:val="24"/>
          <w:rtl w:val="0"/>
        </w:rPr>
        <w:t xml:space="preserve">gabrielle.hargreaves@nottinghillcollege.net</w:t>
      </w:r>
    </w:p>
    <w:p w:rsidR="00000000" w:rsidDel="00000000" w:rsidP="00000000" w:rsidRDefault="00000000" w:rsidRPr="00000000" w14:paraId="0000001C">
      <w:pPr>
        <w:spacing w:after="200" w:line="240" w:lineRule="auto"/>
        <w:jc w:val="both"/>
        <w:rPr>
          <w:sz w:val="24"/>
          <w:szCs w:val="24"/>
        </w:rPr>
      </w:pPr>
      <w:r w:rsidDel="00000000" w:rsidR="00000000" w:rsidRPr="00000000">
        <w:rPr>
          <w:sz w:val="24"/>
          <w:szCs w:val="24"/>
          <w:rtl w:val="0"/>
        </w:rPr>
        <w:t xml:space="preserve">Write to: Gabrielle Hargreaves </w:t>
      </w:r>
    </w:p>
    <w:p w:rsidR="00000000" w:rsidDel="00000000" w:rsidP="00000000" w:rsidRDefault="00000000" w:rsidRPr="00000000" w14:paraId="0000001D">
      <w:pPr>
        <w:spacing w:after="200" w:line="240" w:lineRule="auto"/>
        <w:jc w:val="both"/>
        <w:rPr>
          <w:b w:val="1"/>
          <w:sz w:val="24"/>
          <w:szCs w:val="24"/>
        </w:rPr>
      </w:pPr>
      <w:r w:rsidDel="00000000" w:rsidR="00000000" w:rsidRPr="00000000">
        <w:rPr>
          <w:sz w:val="24"/>
          <w:szCs w:val="24"/>
          <w:rtl w:val="0"/>
        </w:rPr>
        <w:t xml:space="preserve">This will be the final route of escalation within our company. Therefore, if you remain unhappy after following our own internal complaints procedure and your complaint refers to services you have received relating to your course and achieving your qualification, then please contact the awarding organisation directly. The awarding organisation is Highfield Qualifications and their complaints policy can be located on their website: </w:t>
      </w:r>
      <w:hyperlink r:id="rId7">
        <w:r w:rsidDel="00000000" w:rsidR="00000000" w:rsidRPr="00000000">
          <w:rPr>
            <w:b w:val="1"/>
            <w:sz w:val="24"/>
            <w:szCs w:val="24"/>
            <w:u w:val="single"/>
            <w:rtl w:val="0"/>
          </w:rPr>
          <w:t xml:space="preserve">https://www.highfieldqualifications.com</w:t>
        </w:r>
      </w:hyperlink>
      <w:r w:rsidDel="00000000" w:rsidR="00000000" w:rsidRPr="00000000">
        <w:rPr>
          <w:b w:val="1"/>
          <w:sz w:val="24"/>
          <w:szCs w:val="24"/>
          <w:rtl w:val="0"/>
        </w:rPr>
        <w:t xml:space="preserve"> </w:t>
      </w:r>
    </w:p>
    <w:p w:rsidR="00000000" w:rsidDel="00000000" w:rsidP="00000000" w:rsidRDefault="00000000" w:rsidRPr="00000000" w14:paraId="0000001E">
      <w:pPr>
        <w:spacing w:after="200" w:line="240" w:lineRule="auto"/>
        <w:jc w:val="both"/>
        <w:rPr>
          <w:sz w:val="24"/>
          <w:szCs w:val="24"/>
        </w:rPr>
      </w:pPr>
      <w:r w:rsidDel="00000000" w:rsidR="00000000" w:rsidRPr="00000000">
        <w:rPr>
          <w:sz w:val="24"/>
          <w:szCs w:val="24"/>
          <w:rtl w:val="0"/>
        </w:rPr>
        <w:t xml:space="preserve">Alternatively, please speak to the Highfield Qualifications team on 01302 363277.</w:t>
      </w:r>
    </w:p>
    <w:p w:rsidR="00000000" w:rsidDel="00000000" w:rsidP="00000000" w:rsidRDefault="00000000" w:rsidRPr="00000000" w14:paraId="0000001F">
      <w:pPr>
        <w:spacing w:after="200" w:line="240" w:lineRule="auto"/>
        <w:jc w:val="both"/>
        <w:rPr>
          <w:color w:val="0000ff"/>
          <w:sz w:val="24"/>
          <w:szCs w:val="24"/>
        </w:rPr>
      </w:pPr>
      <w:r w:rsidDel="00000000" w:rsidR="00000000" w:rsidRPr="00000000">
        <w:rPr>
          <w:sz w:val="24"/>
          <w:szCs w:val="24"/>
          <w:rtl w:val="0"/>
        </w:rPr>
        <w:t xml:space="preserve">Should you address your complaint to Highfield Qualifications and remain unhappy with the outcome, you may then raise your complaint to the relevant qualification regulator:</w:t>
      </w:r>
      <w:r w:rsidDel="00000000" w:rsidR="00000000" w:rsidRPr="00000000">
        <w:rPr>
          <w:rtl w:val="0"/>
        </w:rPr>
      </w:r>
    </w:p>
    <w:p w:rsidR="00000000" w:rsidDel="00000000" w:rsidP="00000000" w:rsidRDefault="00000000" w:rsidRPr="00000000" w14:paraId="00000020">
      <w:pPr>
        <w:spacing w:after="200" w:line="240" w:lineRule="auto"/>
        <w:jc w:val="both"/>
        <w:rPr>
          <w:sz w:val="24"/>
          <w:szCs w:val="24"/>
        </w:rPr>
      </w:pPr>
      <w:r w:rsidDel="00000000" w:rsidR="00000000" w:rsidRPr="00000000">
        <w:rPr>
          <w:sz w:val="24"/>
          <w:szCs w:val="24"/>
          <w:rtl w:val="0"/>
        </w:rPr>
        <w:t xml:space="preserve">OFQUAL for RQF qualifications.</w:t>
      </w:r>
    </w:p>
    <w:p w:rsidR="00000000" w:rsidDel="00000000" w:rsidP="00000000" w:rsidRDefault="00000000" w:rsidRPr="00000000" w14:paraId="00000021">
      <w:pPr>
        <w:spacing w:after="200" w:line="240" w:lineRule="auto"/>
        <w:jc w:val="both"/>
        <w:rPr>
          <w:b w:val="1"/>
          <w:sz w:val="24"/>
          <w:szCs w:val="24"/>
        </w:rPr>
      </w:pPr>
      <w:r w:rsidDel="00000000" w:rsidR="00000000" w:rsidRPr="00000000">
        <w:rPr>
          <w:b w:val="1"/>
          <w:sz w:val="24"/>
          <w:szCs w:val="24"/>
          <w:rtl w:val="0"/>
        </w:rPr>
        <w:t xml:space="preserve">https://www.gov.uk/government/organisations/ofqual</w:t>
      </w:r>
    </w:p>
    <w:p w:rsidR="00000000" w:rsidDel="00000000" w:rsidP="00000000" w:rsidRDefault="00000000" w:rsidRPr="00000000" w14:paraId="00000022">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3">
      <w:pPr>
        <w:spacing w:after="200" w:line="276" w:lineRule="auto"/>
        <w:jc w:val="both"/>
        <w:rPr>
          <w:sz w:val="24"/>
          <w:szCs w:val="24"/>
        </w:rPr>
      </w:pPr>
      <w:r w:rsidDel="00000000" w:rsidR="00000000" w:rsidRPr="00000000">
        <w:rPr>
          <w:sz w:val="24"/>
          <w:szCs w:val="24"/>
          <w:rtl w:val="0"/>
        </w:rPr>
        <w:t xml:space="preserve">If you have any queries about the contents of this policy, please contact Iryna Hurkova directly on 0161 637 5960 or email her at: </w:t>
      </w:r>
      <w:r w:rsidDel="00000000" w:rsidR="00000000" w:rsidRPr="00000000">
        <w:rPr>
          <w:i w:val="1"/>
          <w:sz w:val="24"/>
          <w:szCs w:val="24"/>
          <w:rtl w:val="0"/>
        </w:rPr>
        <w:t xml:space="preserve">iryna.hurkova@nottinghillcollege.net</w:t>
      </w:r>
      <w:r w:rsidDel="00000000" w:rsidR="00000000" w:rsidRPr="00000000">
        <w:rPr>
          <w:sz w:val="24"/>
          <w:szCs w:val="24"/>
          <w:rtl w:val="0"/>
        </w:rPr>
        <w:t xml:space="preserve">.</w:t>
      </w:r>
    </w:p>
    <w:p w:rsidR="00000000" w:rsidDel="00000000" w:rsidP="00000000" w:rsidRDefault="00000000" w:rsidRPr="00000000" w14:paraId="00000024">
      <w:pPr>
        <w:spacing w:after="200" w:line="276" w:lineRule="auto"/>
        <w:jc w:val="both"/>
        <w:rPr>
          <w:color w:val="0000ff"/>
          <w:sz w:val="24"/>
          <w:szCs w:val="24"/>
        </w:rPr>
      </w:pPr>
      <w:r w:rsidDel="00000000" w:rsidR="00000000" w:rsidRPr="00000000">
        <w:rPr>
          <w:rtl w:val="0"/>
        </w:rPr>
      </w:r>
    </w:p>
    <w:p w:rsidR="00000000" w:rsidDel="00000000" w:rsidP="00000000" w:rsidRDefault="00000000" w:rsidRPr="00000000" w14:paraId="00000025">
      <w:pPr>
        <w:spacing w:after="200" w:line="276" w:lineRule="auto"/>
        <w:jc w:val="both"/>
        <w:rPr>
          <w:color w:val="0000ff"/>
          <w:sz w:val="24"/>
          <w:szCs w:val="24"/>
        </w:rPr>
      </w:pPr>
      <w:r w:rsidDel="00000000" w:rsidR="00000000" w:rsidRPr="00000000">
        <w:rPr>
          <w:rtl w:val="0"/>
        </w:rPr>
      </w:r>
    </w:p>
    <w:p w:rsidR="00000000" w:rsidDel="00000000" w:rsidP="00000000" w:rsidRDefault="00000000" w:rsidRPr="00000000" w14:paraId="00000026">
      <w:pPr>
        <w:spacing w:after="200" w:line="276" w:lineRule="auto"/>
        <w:jc w:val="both"/>
        <w:rPr>
          <w:color w:val="0000ff"/>
          <w:sz w:val="24"/>
          <w:szCs w:val="24"/>
        </w:rPr>
      </w:pPr>
      <w:r w:rsidDel="00000000" w:rsidR="00000000" w:rsidRPr="00000000">
        <w:rPr>
          <w:rtl w:val="0"/>
        </w:rPr>
      </w:r>
    </w:p>
    <w:p w:rsidR="00000000" w:rsidDel="00000000" w:rsidP="00000000" w:rsidRDefault="00000000" w:rsidRPr="00000000" w14:paraId="00000027">
      <w:pPr>
        <w:spacing w:after="200" w:line="276" w:lineRule="auto"/>
        <w:jc w:val="both"/>
        <w:rPr>
          <w:color w:val="0000ff"/>
          <w:sz w:val="24"/>
          <w:szCs w:val="24"/>
        </w:rPr>
      </w:pPr>
      <w:r w:rsidDel="00000000" w:rsidR="00000000" w:rsidRPr="00000000">
        <w:rPr>
          <w:rtl w:val="0"/>
        </w:rPr>
      </w:r>
    </w:p>
    <w:p w:rsidR="00000000" w:rsidDel="00000000" w:rsidP="00000000" w:rsidRDefault="00000000" w:rsidRPr="00000000" w14:paraId="00000028">
      <w:pPr>
        <w:spacing w:after="200" w:line="276" w:lineRule="auto"/>
        <w:jc w:val="both"/>
        <w:rPr>
          <w:color w:val="0000ff"/>
          <w:sz w:val="24"/>
          <w:szCs w:val="24"/>
        </w:rPr>
      </w:pPr>
      <w:r w:rsidDel="00000000" w:rsidR="00000000" w:rsidRPr="00000000">
        <w:rPr>
          <w:rtl w:val="0"/>
        </w:rPr>
      </w:r>
    </w:p>
    <w:p w:rsidR="00000000" w:rsidDel="00000000" w:rsidP="00000000" w:rsidRDefault="00000000" w:rsidRPr="00000000" w14:paraId="00000029">
      <w:pPr>
        <w:spacing w:after="200" w:line="276" w:lineRule="auto"/>
        <w:jc w:val="both"/>
        <w:rPr>
          <w:color w:val="0000ff"/>
          <w:sz w:val="24"/>
          <w:szCs w:val="24"/>
        </w:rPr>
      </w:pPr>
      <w:r w:rsidDel="00000000" w:rsidR="00000000" w:rsidRPr="00000000">
        <w:rPr>
          <w:rtl w:val="0"/>
        </w:rPr>
      </w:r>
    </w:p>
    <w:p w:rsidR="00000000" w:rsidDel="00000000" w:rsidP="00000000" w:rsidRDefault="00000000" w:rsidRPr="00000000" w14:paraId="0000002A">
      <w:pPr>
        <w:spacing w:after="200" w:line="276" w:lineRule="auto"/>
        <w:jc w:val="both"/>
        <w:rPr>
          <w:color w:val="0000ff"/>
          <w:sz w:val="24"/>
          <w:szCs w:val="24"/>
        </w:rPr>
      </w:pPr>
      <w:r w:rsidDel="00000000" w:rsidR="00000000" w:rsidRPr="00000000">
        <w:rPr>
          <w:rtl w:val="0"/>
        </w:rPr>
      </w:r>
    </w:p>
    <w:tbl>
      <w:tblPr>
        <w:tblStyle w:val="Table1"/>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430"/>
        <w:gridCol w:w="2070"/>
        <w:gridCol w:w="4095"/>
        <w:tblGridChange w:id="0">
          <w:tblGrid>
            <w:gridCol w:w="1245"/>
            <w:gridCol w:w="2430"/>
            <w:gridCol w:w="2070"/>
            <w:gridCol w:w="4095"/>
          </w:tblGrid>
        </w:tblGridChange>
      </w:tblGrid>
      <w:tr>
        <w:trPr>
          <w:cantSplit w:val="0"/>
          <w:trHeight w:val="56" w:hRule="atLeast"/>
          <w:tblHeader w:val="0"/>
        </w:trPr>
        <w:tc>
          <w:tcPr>
            <w:gridSpan w:val="4"/>
            <w:shd w:fill="d9d9d9" w:val="clear"/>
          </w:tcPr>
          <w:p w:rsidR="00000000" w:rsidDel="00000000" w:rsidP="00000000" w:rsidRDefault="00000000" w:rsidRPr="00000000" w14:paraId="0000002B">
            <w:pPr>
              <w:jc w:val="center"/>
              <w:rPr>
                <w:b w:val="1"/>
                <w:sz w:val="24"/>
                <w:szCs w:val="24"/>
              </w:rPr>
            </w:pPr>
            <w:r w:rsidDel="00000000" w:rsidR="00000000" w:rsidRPr="00000000">
              <w:rPr>
                <w:b w:val="1"/>
                <w:sz w:val="24"/>
                <w:szCs w:val="24"/>
                <w:rtl w:val="0"/>
              </w:rPr>
              <w:t xml:space="preserve">Version control</w:t>
            </w:r>
          </w:p>
        </w:tc>
      </w:tr>
      <w:tr>
        <w:trPr>
          <w:cantSplit w:val="0"/>
          <w:tblHeader w:val="0"/>
        </w:trPr>
        <w:tc>
          <w:tcPr>
            <w:gridSpan w:val="2"/>
            <w:shd w:fill="d9d9d9" w:val="clear"/>
          </w:tcPr>
          <w:p w:rsidR="00000000" w:rsidDel="00000000" w:rsidP="00000000" w:rsidRDefault="00000000" w:rsidRPr="00000000" w14:paraId="0000002F">
            <w:pPr>
              <w:jc w:val="both"/>
              <w:rPr>
                <w:sz w:val="24"/>
                <w:szCs w:val="24"/>
              </w:rPr>
            </w:pPr>
            <w:r w:rsidDel="00000000" w:rsidR="00000000" w:rsidRPr="00000000">
              <w:rPr>
                <w:b w:val="1"/>
                <w:sz w:val="24"/>
                <w:szCs w:val="24"/>
                <w:rtl w:val="0"/>
              </w:rPr>
              <w:t xml:space="preserve">Last revision date: </w:t>
            </w:r>
            <w:r w:rsidDel="00000000" w:rsidR="00000000" w:rsidRPr="00000000">
              <w:rPr>
                <w:sz w:val="24"/>
                <w:szCs w:val="24"/>
                <w:rtl w:val="0"/>
              </w:rPr>
              <w:t xml:space="preserve">March 2025</w:t>
            </w:r>
          </w:p>
        </w:tc>
        <w:tc>
          <w:tcPr>
            <w:gridSpan w:val="2"/>
            <w:shd w:fill="d9d9d9" w:val="clear"/>
          </w:tcPr>
          <w:p w:rsidR="00000000" w:rsidDel="00000000" w:rsidP="00000000" w:rsidRDefault="00000000" w:rsidRPr="00000000" w14:paraId="00000031">
            <w:pPr>
              <w:jc w:val="both"/>
              <w:rPr>
                <w:sz w:val="24"/>
                <w:szCs w:val="24"/>
              </w:rPr>
            </w:pPr>
            <w:r w:rsidDel="00000000" w:rsidR="00000000" w:rsidRPr="00000000">
              <w:rPr>
                <w:b w:val="1"/>
                <w:sz w:val="24"/>
                <w:szCs w:val="24"/>
                <w:rtl w:val="0"/>
              </w:rPr>
              <w:t xml:space="preserve">Next revision due: </w:t>
            </w:r>
            <w:r w:rsidDel="00000000" w:rsidR="00000000" w:rsidRPr="00000000">
              <w:rPr>
                <w:sz w:val="24"/>
                <w:szCs w:val="24"/>
                <w:rtl w:val="0"/>
              </w:rPr>
              <w:t xml:space="preserve">January 2026</w:t>
            </w:r>
          </w:p>
        </w:tc>
      </w:tr>
      <w:tr>
        <w:trPr>
          <w:cantSplit w:val="0"/>
          <w:trHeight w:val="243" w:hRule="atLeast"/>
          <w:tblHeader w:val="0"/>
        </w:trPr>
        <w:tc>
          <w:tcPr>
            <w:shd w:fill="d9d9d9" w:val="clear"/>
          </w:tcPr>
          <w:p w:rsidR="00000000" w:rsidDel="00000000" w:rsidP="00000000" w:rsidRDefault="00000000" w:rsidRPr="00000000" w14:paraId="00000033">
            <w:pPr>
              <w:jc w:val="both"/>
              <w:rPr>
                <w:b w:val="1"/>
                <w:sz w:val="24"/>
                <w:szCs w:val="24"/>
              </w:rPr>
            </w:pPr>
            <w:r w:rsidDel="00000000" w:rsidR="00000000" w:rsidRPr="00000000">
              <w:rPr>
                <w:b w:val="1"/>
                <w:sz w:val="24"/>
                <w:szCs w:val="24"/>
                <w:rtl w:val="0"/>
              </w:rPr>
              <w:t xml:space="preserve">Version</w:t>
            </w:r>
          </w:p>
        </w:tc>
        <w:tc>
          <w:tcPr>
            <w:shd w:fill="d9d9d9" w:val="clear"/>
          </w:tcPr>
          <w:p w:rsidR="00000000" w:rsidDel="00000000" w:rsidP="00000000" w:rsidRDefault="00000000" w:rsidRPr="00000000" w14:paraId="00000034">
            <w:pPr>
              <w:jc w:val="both"/>
              <w:rPr>
                <w:b w:val="1"/>
                <w:sz w:val="24"/>
                <w:szCs w:val="24"/>
              </w:rPr>
            </w:pPr>
            <w:r w:rsidDel="00000000" w:rsidR="00000000" w:rsidRPr="00000000">
              <w:rPr>
                <w:b w:val="1"/>
                <w:sz w:val="24"/>
                <w:szCs w:val="24"/>
                <w:rtl w:val="0"/>
              </w:rPr>
              <w:t xml:space="preserve">Revision date</w:t>
            </w:r>
          </w:p>
        </w:tc>
        <w:tc>
          <w:tcPr>
            <w:shd w:fill="d9d9d9" w:val="clear"/>
          </w:tcPr>
          <w:p w:rsidR="00000000" w:rsidDel="00000000" w:rsidP="00000000" w:rsidRDefault="00000000" w:rsidRPr="00000000" w14:paraId="00000035">
            <w:pPr>
              <w:jc w:val="both"/>
              <w:rPr>
                <w:b w:val="1"/>
                <w:sz w:val="24"/>
                <w:szCs w:val="24"/>
              </w:rPr>
            </w:pPr>
            <w:r w:rsidDel="00000000" w:rsidR="00000000" w:rsidRPr="00000000">
              <w:rPr>
                <w:b w:val="1"/>
                <w:sz w:val="24"/>
                <w:szCs w:val="24"/>
                <w:rtl w:val="0"/>
              </w:rPr>
              <w:t xml:space="preserve">Author </w:t>
            </w:r>
          </w:p>
        </w:tc>
        <w:tc>
          <w:tcPr>
            <w:shd w:fill="d9d9d9" w:val="clear"/>
          </w:tcPr>
          <w:p w:rsidR="00000000" w:rsidDel="00000000" w:rsidP="00000000" w:rsidRDefault="00000000" w:rsidRPr="00000000" w14:paraId="00000036">
            <w:pPr>
              <w:jc w:val="both"/>
              <w:rPr>
                <w:b w:val="1"/>
                <w:sz w:val="24"/>
                <w:szCs w:val="24"/>
              </w:rPr>
            </w:pPr>
            <w:r w:rsidDel="00000000" w:rsidR="00000000" w:rsidRPr="00000000">
              <w:rPr>
                <w:b w:val="1"/>
                <w:sz w:val="24"/>
                <w:szCs w:val="24"/>
                <w:rtl w:val="0"/>
              </w:rPr>
              <w:t xml:space="preserve">Notes</w:t>
            </w:r>
          </w:p>
        </w:tc>
      </w:tr>
      <w:tr>
        <w:trPr>
          <w:cantSplit w:val="0"/>
          <w:trHeight w:val="56" w:hRule="atLeast"/>
          <w:tblHeader w:val="0"/>
        </w:trPr>
        <w:tc>
          <w:tcPr>
            <w:shd w:fill="auto" w:val="clear"/>
          </w:tcPr>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CPV2025</w:t>
            </w:r>
          </w:p>
        </w:tc>
        <w:tc>
          <w:tcPr>
            <w:shd w:fill="auto" w:val="clear"/>
          </w:tcPr>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24 March 2025</w:t>
            </w:r>
          </w:p>
        </w:tc>
        <w:tc>
          <w:tcPr>
            <w:shd w:fill="auto" w:val="clear"/>
          </w:tcPr>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Iryna Hurkova</w:t>
            </w:r>
          </w:p>
        </w:tc>
        <w:tc>
          <w:tcPr>
            <w:shd w:fill="auto" w:val="clear"/>
          </w:tcPr>
          <w:p w:rsidR="00000000" w:rsidDel="00000000" w:rsidP="00000000" w:rsidRDefault="00000000" w:rsidRPr="00000000" w14:paraId="0000003A">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3C">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3D">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3E">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F">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0">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1">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2">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4">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5">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6">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8">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9">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4A">
            <w:pPr>
              <w:jc w:val="both"/>
              <w:rPr>
                <w:sz w:val="24"/>
                <w:szCs w:val="24"/>
              </w:rPr>
            </w:pPr>
            <w:r w:rsidDel="00000000" w:rsidR="00000000" w:rsidRPr="00000000">
              <w:rPr>
                <w:rtl w:val="0"/>
              </w:rPr>
            </w:r>
          </w:p>
        </w:tc>
      </w:tr>
    </w:tbl>
    <w:p w:rsidR="00000000" w:rsidDel="00000000" w:rsidP="00000000" w:rsidRDefault="00000000" w:rsidRPr="00000000" w14:paraId="0000004B">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4C">
      <w:pPr>
        <w:spacing w:after="240" w:before="240" w:line="276" w:lineRule="auto"/>
        <w:jc w:val="both"/>
        <w:rPr>
          <w:b w:val="1"/>
          <w:sz w:val="24"/>
          <w:szCs w:val="24"/>
        </w:rPr>
      </w:pPr>
      <w:r w:rsidDel="00000000" w:rsidR="00000000" w:rsidRPr="00000000">
        <w:rPr>
          <w:rtl w:val="0"/>
        </w:rPr>
      </w:r>
    </w:p>
    <w:sectPr>
      <w:headerReference r:id="rId8" w:type="default"/>
      <w:footerReference r:id="rId9" w:type="default"/>
      <w:pgSz w:h="16838" w:w="11906" w:orient="portrait"/>
      <w:pgMar w:bottom="1440.0000000000002" w:top="1440.0000000000002"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tabs>
        <w:tab w:val="center" w:leader="none" w:pos="4513"/>
        <w:tab w:val="right" w:leader="none" w:pos="9026"/>
      </w:tabs>
      <w:spacing w:after="0" w:line="2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9359900</wp:posOffset>
              </wp:positionV>
              <wp:extent cx="3686810" cy="309880"/>
              <wp:effectExtent b="0" l="0" r="0" t="0"/>
              <wp:wrapNone/>
              <wp:docPr id="57" name=""/>
              <a:graphic>
                <a:graphicData uri="http://schemas.microsoft.com/office/word/2010/wordprocessingShape">
                  <wps:wsp>
                    <wps:cNvSpPr/>
                    <wps:cNvPr id="2" name="Shape 2"/>
                    <wps:spPr>
                      <a:xfrm>
                        <a:off x="3540695" y="3663160"/>
                        <a:ext cx="3610610" cy="233680"/>
                      </a:xfrm>
                      <a:prstGeom prst="rect">
                        <a:avLst/>
                      </a:prstGeom>
                      <a:solidFill>
                        <a:schemeClr val="lt1"/>
                      </a:solid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aramond" w:cs="Garamond" w:eastAsia="Garamond" w:hAnsi="Garamond"/>
                              <w:b w:val="0"/>
                              <w:i w:val="0"/>
                              <w:smallCaps w:val="0"/>
                              <w:strike w:val="0"/>
                              <w:color w:val="e40038"/>
                              <w:sz w:val="14"/>
                              <w:vertAlign w:val="baseline"/>
                            </w:rPr>
                            <w:t xml:space="preserve"> PAGE   \* MERGEFORMAT 2 | ©Peninsula Business Services Limited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9359900</wp:posOffset>
              </wp:positionV>
              <wp:extent cx="3686810" cy="309880"/>
              <wp:effectExtent b="0" l="0" r="0" t="0"/>
              <wp:wrapNone/>
              <wp:docPr id="5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686810" cy="30988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-915816</wp:posOffset>
          </wp:positionH>
          <wp:positionV relativeFrom="paragraph">
            <wp:posOffset>-914391</wp:posOffset>
          </wp:positionV>
          <wp:extent cx="7562850" cy="1620611"/>
          <wp:effectExtent b="0" l="0" r="0" t="0"/>
          <wp:wrapNone/>
          <wp:docPr descr="Footer-02" id="59" name="image2.png"/>
          <a:graphic>
            <a:graphicData uri="http://schemas.openxmlformats.org/drawingml/2006/picture">
              <pic:pic>
                <pic:nvPicPr>
                  <pic:cNvPr descr="Footer-02" id="0" name="image2.png"/>
                  <pic:cNvPicPr preferRelativeResize="0"/>
                </pic:nvPicPr>
                <pic:blipFill>
                  <a:blip r:embed="rId2"/>
                  <a:srcRect b="0" l="0" r="0" t="0"/>
                  <a:stretch>
                    <a:fillRect/>
                  </a:stretch>
                </pic:blipFill>
                <pic:spPr>
                  <a:xfrm>
                    <a:off x="0" y="0"/>
                    <a:ext cx="7562850" cy="162061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drawing>
        <wp:anchor allowOverlap="1" behindDoc="1" distB="0" distT="0" distL="0" distR="0" hidden="0" layoutInCell="1" locked="0" relativeHeight="0" simplePos="0">
          <wp:simplePos x="0" y="0"/>
          <wp:positionH relativeFrom="page">
            <wp:posOffset>190500</wp:posOffset>
          </wp:positionH>
          <wp:positionV relativeFrom="page">
            <wp:posOffset>-369560</wp:posOffset>
          </wp:positionV>
          <wp:extent cx="7560310" cy="1816100"/>
          <wp:effectExtent b="0" l="0" r="0" t="0"/>
          <wp:wrapNone/>
          <wp:docPr id="5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310" cy="18161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53C9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514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149E"/>
  </w:style>
  <w:style w:type="paragraph" w:styleId="Footer">
    <w:name w:val="footer"/>
    <w:basedOn w:val="Normal"/>
    <w:link w:val="FooterChar"/>
    <w:uiPriority w:val="99"/>
    <w:unhideWhenUsed w:val="1"/>
    <w:rsid w:val="002514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cs="Times New Roman" w:eastAsia="Times New Roman" w:hAnsi="Arial"/>
      <w:color w:val="000000"/>
      <w:sz w:val="20"/>
      <w:szCs w:val="20"/>
      <w:lang w:val="en-US"/>
    </w:rPr>
  </w:style>
  <w:style w:type="character" w:styleId="BodyTextChar" w:customStyle="1">
    <w:name w:val="Body Text Char"/>
    <w:basedOn w:val="DefaultParagraphFont"/>
    <w:link w:val="BodyText"/>
    <w:rsid w:val="006E0345"/>
    <w:rPr>
      <w:rFonts w:ascii="Arial" w:cs="Times New Roman" w:eastAsia="Times New Roman" w:hAnsi="Arial"/>
      <w:color w:val="000000"/>
      <w:sz w:val="20"/>
      <w:szCs w:val="20"/>
      <w:lang w:val="en-US"/>
    </w:rPr>
  </w:style>
  <w:style w:type="numbering" w:styleId="Style1" w:custom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cs="Times New Roman" w:eastAsia="Times New Roman" w:hAnsi="Times New Roman"/>
      <w:sz w:val="20"/>
      <w:szCs w:val="20"/>
      <w:lang w:eastAsia="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link w:val="DefaultChar"/>
    <w:rsid w:val="00EA0645"/>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BodySingle" w:customStyle="1">
    <w:name w:val="Body Single"/>
    <w:rsid w:val="009F68E0"/>
    <w:pPr>
      <w:widowControl w:val="0"/>
      <w:autoSpaceDE w:val="0"/>
      <w:autoSpaceDN w:val="0"/>
      <w:adjustRightInd w:val="0"/>
      <w:spacing w:after="0" w:line="240" w:lineRule="auto"/>
    </w:pPr>
    <w:rPr>
      <w:rFonts w:ascii="Times New Roman" w:cs="Times New Roman" w:eastAsia="Times New Roman" w:hAnsi="Times New Roman"/>
      <w:color w:val="000000"/>
      <w:sz w:val="20"/>
      <w:szCs w:val="24"/>
      <w:lang w:val="en-US"/>
    </w:rPr>
  </w:style>
  <w:style w:type="paragraph" w:styleId="Bullet1" w:customStyle="1">
    <w:name w:val="Bullet 1"/>
    <w:rsid w:val="009F68E0"/>
    <w:pPr>
      <w:widowControl w:val="0"/>
      <w:autoSpaceDE w:val="0"/>
      <w:autoSpaceDN w:val="0"/>
      <w:adjustRightInd w:val="0"/>
      <w:spacing w:after="0" w:line="240" w:lineRule="auto"/>
      <w:ind w:left="576"/>
    </w:pPr>
    <w:rPr>
      <w:rFonts w:ascii="Times New Roman" w:cs="Times New Roman" w:eastAsia="Times New Roman" w:hAnsi="Times New Roman"/>
      <w:color w:val="000000"/>
      <w:sz w:val="20"/>
      <w:szCs w:val="24"/>
      <w:lang w:val="en-US"/>
    </w:rPr>
  </w:style>
  <w:style w:type="paragraph" w:styleId="ListParagraph">
    <w:name w:val="List Paragraph"/>
    <w:basedOn w:val="Normal"/>
    <w:uiPriority w:val="34"/>
    <w:qFormat w:val="1"/>
    <w:rsid w:val="009F68E0"/>
    <w:pPr>
      <w:spacing w:after="0" w:line="240" w:lineRule="auto"/>
      <w:ind w:left="720"/>
    </w:pPr>
    <w:rPr>
      <w:rFonts w:ascii="Times New Roman" w:cs="Times New Roman" w:eastAsia="Times New Roman" w:hAnsi="Times New Roman"/>
      <w:sz w:val="24"/>
      <w:szCs w:val="24"/>
    </w:rPr>
  </w:style>
  <w:style w:type="paragraph" w:styleId="Heading" w:customStyle="1">
    <w:name w:val="Heading"/>
    <w:basedOn w:val="Normal"/>
    <w:link w:val="HeadingChar"/>
    <w:qFormat w:val="1"/>
    <w:rsid w:val="00DF08E7"/>
    <w:pPr>
      <w:spacing w:after="0" w:line="240" w:lineRule="auto"/>
    </w:pPr>
    <w:rPr>
      <w:rFonts w:ascii="Arial" w:cs="Arial" w:hAnsi="Arial"/>
      <w:b w:val="1"/>
      <w:color w:val="e40038"/>
      <w:sz w:val="56"/>
      <w:szCs w:val="34"/>
    </w:rPr>
  </w:style>
  <w:style w:type="paragraph" w:styleId="SubHeading" w:customStyle="1">
    <w:name w:val="Sub Heading"/>
    <w:basedOn w:val="Normal"/>
    <w:link w:val="SubHeadingChar"/>
    <w:qFormat w:val="1"/>
    <w:rsid w:val="00DF08E7"/>
    <w:pPr>
      <w:spacing w:after="0" w:line="240" w:lineRule="auto"/>
    </w:pPr>
    <w:rPr>
      <w:rFonts w:ascii="Arial" w:cs="Arial" w:hAnsi="Arial"/>
      <w:b w:val="1"/>
      <w:color w:val="253143"/>
      <w:sz w:val="32"/>
    </w:rPr>
  </w:style>
  <w:style w:type="character" w:styleId="HeadingChar" w:customStyle="1">
    <w:name w:val="Heading Char"/>
    <w:basedOn w:val="DefaultParagraphFont"/>
    <w:link w:val="Heading"/>
    <w:rsid w:val="00DF08E7"/>
    <w:rPr>
      <w:rFonts w:ascii="Arial" w:cs="Arial" w:hAnsi="Arial"/>
      <w:b w:val="1"/>
      <w:color w:val="e40038"/>
      <w:sz w:val="56"/>
      <w:szCs w:val="34"/>
    </w:rPr>
  </w:style>
  <w:style w:type="paragraph" w:styleId="BodyBoldBlue" w:customStyle="1">
    <w:name w:val="Body Bold Blue"/>
    <w:basedOn w:val="Default"/>
    <w:link w:val="BodyBoldBlueChar"/>
    <w:qFormat w:val="1"/>
    <w:rsid w:val="00DF08E7"/>
    <w:pPr>
      <w:jc w:val="both"/>
    </w:pPr>
    <w:rPr>
      <w:b w:val="1"/>
      <w:color w:val="253143"/>
      <w:sz w:val="18"/>
      <w:szCs w:val="20"/>
    </w:rPr>
  </w:style>
  <w:style w:type="character" w:styleId="SubHeadingChar" w:customStyle="1">
    <w:name w:val="Sub Heading Char"/>
    <w:basedOn w:val="DefaultParagraphFont"/>
    <w:link w:val="SubHeading"/>
    <w:rsid w:val="00DF08E7"/>
    <w:rPr>
      <w:rFonts w:ascii="Arial" w:cs="Arial" w:hAnsi="Arial"/>
      <w:b w:val="1"/>
      <w:color w:val="253143"/>
      <w:sz w:val="32"/>
    </w:rPr>
  </w:style>
  <w:style w:type="paragraph" w:styleId="BodyBoldRed" w:customStyle="1">
    <w:name w:val="Body Bold Red"/>
    <w:basedOn w:val="Default"/>
    <w:link w:val="BodyBoldRedChar"/>
    <w:qFormat w:val="1"/>
    <w:rsid w:val="00DF08E7"/>
    <w:pPr>
      <w:numPr>
        <w:numId w:val="2"/>
      </w:numPr>
      <w:jc w:val="both"/>
    </w:pPr>
    <w:rPr>
      <w:b w:val="1"/>
      <w:bCs w:val="1"/>
      <w:color w:val="e40038"/>
      <w:sz w:val="18"/>
      <w:szCs w:val="18"/>
    </w:rPr>
  </w:style>
  <w:style w:type="character" w:styleId="DefaultChar" w:customStyle="1">
    <w:name w:val="Default Char"/>
    <w:basedOn w:val="DefaultParagraphFont"/>
    <w:link w:val="Default"/>
    <w:rsid w:val="00DF08E7"/>
    <w:rPr>
      <w:rFonts w:ascii="Arial" w:cs="Arial" w:eastAsia="Times New Roman" w:hAnsi="Arial"/>
      <w:color w:val="000000"/>
      <w:sz w:val="24"/>
      <w:szCs w:val="24"/>
      <w:lang w:eastAsia="en-GB"/>
    </w:rPr>
  </w:style>
  <w:style w:type="character" w:styleId="BodyBoldBlueChar" w:customStyle="1">
    <w:name w:val="Body Bold Blue Char"/>
    <w:basedOn w:val="DefaultChar"/>
    <w:link w:val="BodyBoldBlue"/>
    <w:rsid w:val="00DF08E7"/>
    <w:rPr>
      <w:rFonts w:ascii="Arial" w:cs="Arial" w:eastAsia="Times New Roman" w:hAnsi="Arial"/>
      <w:b w:val="1"/>
      <w:color w:val="253143"/>
      <w:sz w:val="18"/>
      <w:szCs w:val="20"/>
      <w:lang w:eastAsia="en-GB"/>
    </w:rPr>
  </w:style>
  <w:style w:type="paragraph" w:styleId="GaramondBody" w:customStyle="1">
    <w:name w:val="Garamond Body"/>
    <w:basedOn w:val="Default"/>
    <w:link w:val="GaramondBodyChar"/>
    <w:qFormat w:val="1"/>
    <w:rsid w:val="008B6FF0"/>
    <w:pPr>
      <w:jc w:val="both"/>
    </w:pPr>
    <w:rPr>
      <w:rFonts w:ascii="Garamond" w:hAnsi="Garamond"/>
      <w:color w:val="615c5d"/>
      <w:sz w:val="18"/>
      <w:szCs w:val="18"/>
    </w:rPr>
  </w:style>
  <w:style w:type="character" w:styleId="BodyBoldRedChar" w:customStyle="1">
    <w:name w:val="Body Bold Red Char"/>
    <w:basedOn w:val="DefaultChar"/>
    <w:link w:val="BodyBoldRed"/>
    <w:rsid w:val="00DF08E7"/>
    <w:rPr>
      <w:rFonts w:ascii="Arial" w:cs="Arial" w:eastAsia="Times New Roman" w:hAnsi="Arial"/>
      <w:b w:val="1"/>
      <w:bCs w:val="1"/>
      <w:color w:val="e40038"/>
      <w:sz w:val="18"/>
      <w:szCs w:val="18"/>
      <w:lang w:eastAsia="en-GB"/>
    </w:rPr>
  </w:style>
  <w:style w:type="paragraph" w:styleId="NoSpacing">
    <w:name w:val="No Spacing"/>
    <w:uiPriority w:val="1"/>
    <w:rsid w:val="00DF08E7"/>
    <w:pPr>
      <w:spacing w:after="0" w:line="240" w:lineRule="auto"/>
    </w:pPr>
  </w:style>
  <w:style w:type="character" w:styleId="GaramondBodyChar" w:customStyle="1">
    <w:name w:val="Garamond Body Char"/>
    <w:basedOn w:val="DefaultChar"/>
    <w:link w:val="GaramondBody"/>
    <w:rsid w:val="00DF08E7"/>
    <w:rPr>
      <w:rFonts w:ascii="Garamond" w:cs="Arial" w:eastAsia="Times New Roman" w:hAnsi="Garamond"/>
      <w:color w:val="615c5d"/>
      <w:sz w:val="18"/>
      <w:szCs w:val="18"/>
      <w:lang w:eastAsia="en-GB"/>
    </w:rPr>
  </w:style>
  <w:style w:type="paragraph" w:styleId="SubHeading0" w:customStyle="1">
    <w:name w:val="SubHeading"/>
    <w:basedOn w:val="Normal"/>
    <w:link w:val="SubHeadingChar0"/>
    <w:qFormat w:val="1"/>
    <w:rsid w:val="00853C90"/>
    <w:pPr>
      <w:spacing w:after="0" w:line="276" w:lineRule="auto"/>
      <w:jc w:val="both"/>
    </w:pPr>
    <w:rPr>
      <w:rFonts w:ascii="Arial" w:hAnsi="Arial"/>
      <w:b w:val="1"/>
      <w:color w:val="e40038"/>
      <w:sz w:val="18"/>
    </w:rPr>
  </w:style>
  <w:style w:type="character" w:styleId="SubHeadingChar0" w:customStyle="1">
    <w:name w:val="SubHeading Char"/>
    <w:basedOn w:val="DefaultParagraphFont"/>
    <w:link w:val="SubHeading0"/>
    <w:rsid w:val="00853C90"/>
    <w:rPr>
      <w:rFonts w:ascii="Arial" w:hAnsi="Arial"/>
      <w:b w:val="1"/>
      <w:color w:val="e40038"/>
      <w:sz w:val="18"/>
    </w:rPr>
  </w:style>
  <w:style w:type="paragraph" w:styleId="DefaultText" w:customStyle="1">
    <w:name w:val="Default Text"/>
    <w:rsid w:val="00853C90"/>
    <w:pPr>
      <w:autoSpaceDE w:val="0"/>
      <w:autoSpaceDN w:val="0"/>
      <w:adjustRightInd w:val="0"/>
      <w:spacing w:after="0" w:line="240" w:lineRule="auto"/>
    </w:pPr>
    <w:rPr>
      <w:rFonts w:ascii="Arial" w:cs="Arial" w:hAnsi="Arial"/>
      <w:color w:val="000000"/>
      <w:sz w:val="20"/>
      <w:szCs w:val="20"/>
    </w:rPr>
  </w:style>
  <w:style w:type="paragraph" w:styleId="GaramondBold" w:customStyle="1">
    <w:name w:val="Garamond Bold"/>
    <w:basedOn w:val="GaramondBody"/>
    <w:link w:val="GaramondBoldChar"/>
    <w:qFormat w:val="1"/>
    <w:rsid w:val="00AF6E77"/>
    <w:rPr>
      <w:b w:val="1"/>
    </w:rPr>
  </w:style>
  <w:style w:type="character" w:styleId="IntenseEmphasis">
    <w:name w:val="Intense Emphasis"/>
    <w:aliases w:val="Main Text"/>
    <w:uiPriority w:val="21"/>
    <w:qFormat w:val="1"/>
    <w:rsid w:val="00D83E26"/>
    <w:rPr>
      <w:rFonts w:ascii="Swis721 Lt BT" w:hAnsi="Swis721 Lt BT"/>
      <w:color w:val="auto"/>
      <w:sz w:val="20"/>
    </w:rPr>
  </w:style>
  <w:style w:type="character" w:styleId="GaramondBoldChar" w:customStyle="1">
    <w:name w:val="Garamond Bold Char"/>
    <w:basedOn w:val="GaramondBodyChar"/>
    <w:link w:val="GaramondBold"/>
    <w:rsid w:val="00AF6E77"/>
    <w:rPr>
      <w:rFonts w:ascii="Garamond" w:cs="Arial" w:eastAsia="Times New Roman" w:hAnsi="Garamond"/>
      <w:b w:val="1"/>
      <w:color w:val="615c5d"/>
      <w:sz w:val="18"/>
      <w:szCs w:val="18"/>
      <w:lang w:eastAsia="en-GB"/>
    </w:rPr>
  </w:style>
  <w:style w:type="paragraph" w:styleId="Pa6" w:customStyle="1">
    <w:name w:val="Pa6"/>
    <w:basedOn w:val="Normal"/>
    <w:next w:val="Normal"/>
    <w:uiPriority w:val="99"/>
    <w:rsid w:val="00D83E26"/>
    <w:pPr>
      <w:widowControl w:val="0"/>
      <w:autoSpaceDE w:val="0"/>
      <w:autoSpaceDN w:val="0"/>
      <w:adjustRightInd w:val="0"/>
      <w:spacing w:after="0" w:line="201" w:lineRule="atLeast"/>
    </w:pPr>
    <w:rPr>
      <w:rFonts w:ascii="Trebuchet MS" w:cs="Times New Roman" w:eastAsia="Times" w:hAnsi="Trebuchet MS"/>
      <w:sz w:val="24"/>
      <w:szCs w:val="24"/>
      <w:lang w:val="en-US"/>
    </w:rPr>
  </w:style>
  <w:style w:type="paragraph" w:styleId="TableText" w:customStyle="1">
    <w:name w:val="Table Text"/>
    <w:rsid w:val="003D2348"/>
    <w:pPr>
      <w:widowControl w:val="0"/>
      <w:autoSpaceDE w:val="0"/>
      <w:autoSpaceDN w:val="0"/>
      <w:adjustRightInd w:val="0"/>
      <w:spacing w:after="0" w:line="240" w:lineRule="auto"/>
    </w:pPr>
    <w:rPr>
      <w:rFonts w:ascii="Arial" w:cs="Times New Roman" w:eastAsia="Times New Roman" w:hAnsi="Arial"/>
      <w:noProof w:val="1"/>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ighfieldqualifications.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9d1w5I+mh8hmUm5XbAkKyNs1IQ==">CgMxLjA4AHIhMWcwQUZmWEkwX1dOaUdMZVRIWnN4bm9qaGpzSkxzZVVU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2016-06-10T12:35:00Z</dcterms:created>
  <dc:creator>David Hawkins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7427834a-295d-4ccb-99da-851e282d6161</vt:lpwstr>
  </property>
  <property fmtid="{D5CDD505-2E9C-101B-9397-08002B2CF9AE}" pid="4" name="Clauses">
    <vt:lpwstr>Clauses</vt:lpwstr>
  </property>
  <property fmtid="{D5CDD505-2E9C-101B-9397-08002B2CF9AE}" pid="5" name="Document Pack GB">
    <vt:lpwstr>Document Pack GB</vt:lpwstr>
  </property>
  <property fmtid="{D5CDD505-2E9C-101B-9397-08002B2CF9AE}" pid="6" name="Industry Type">
    <vt:lpwstr>Industry Type</vt:lpwstr>
  </property>
  <property fmtid="{D5CDD505-2E9C-101B-9397-08002B2CF9AE}" pid="7" name="Caveats">
    <vt:lpwstr>Caveats</vt:lpwstr>
  </property>
  <property fmtid="{D5CDD505-2E9C-101B-9397-08002B2CF9AE}" pid="8" name="Document Type">
    <vt:lpwstr>6;#Stationery|7e1e5c5b-368e-4019-a948-b4d7e9c142b9</vt:lpwstr>
  </property>
  <property fmtid="{D5CDD505-2E9C-101B-9397-08002B2CF9AE}" pid="9" name="Contract Type">
    <vt:lpwstr>Contract Type</vt:lpwstr>
  </property>
  <property fmtid="{D5CDD505-2E9C-101B-9397-08002B2CF9AE}" pid="10" name="Location">
    <vt:lpwstr>11;#England|f871836e-7dba-4a6c-aa3a-de357482fdaa</vt:lpwstr>
  </property>
  <property fmtid="{D5CDD505-2E9C-101B-9397-08002B2CF9AE}" pid="11" name="Jurisdiction">
    <vt:lpwstr>251;#Great Britain|c309838f-918d-4ea1-8e5d-e0ba9a815d04;#263;#Jersey|da360877-83db-4fc5-bff6-1a2c69621007;#254;#Guernsey|11c2795c-e1fc-444b-8c57-0bd6fe35483b;#260;#Isle of Man|42fb4f62-e761-4cf0-96cf-6fff3706cfd8</vt:lpwstr>
  </property>
  <property fmtid="{D5CDD505-2E9C-101B-9397-08002B2CF9AE}" pid="12" name="Types">
    <vt:lpwstr>268;#HR Forms|d2dda6e8-23ed-49fb-ae68-f4fcb5e566bd</vt:lpwstr>
  </property>
</Properties>
</file>