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40" w:lineRule="auto"/>
        <w:jc w:val="left"/>
        <w:rPr/>
      </w:pPr>
      <w:r w:rsidDel="00000000" w:rsidR="00000000" w:rsidRPr="00000000">
        <w:rPr>
          <w:rtl w:val="0"/>
        </w:rPr>
      </w:r>
    </w:p>
    <w:p w:rsidR="00000000" w:rsidDel="00000000" w:rsidP="00000000" w:rsidRDefault="00000000" w:rsidRPr="00000000" w14:paraId="00000003">
      <w:pPr>
        <w:spacing w:after="0" w:line="240" w:lineRule="auto"/>
        <w:jc w:val="left"/>
        <w:rPr/>
      </w:pPr>
      <w:r w:rsidDel="00000000" w:rsidR="00000000" w:rsidRPr="00000000">
        <w:rPr>
          <w:rtl w:val="0"/>
        </w:rPr>
      </w:r>
    </w:p>
    <w:p w:rsidR="00000000" w:rsidDel="00000000" w:rsidP="00000000" w:rsidRDefault="00000000" w:rsidRPr="00000000" w14:paraId="00000004">
      <w:pPr>
        <w:spacing w:after="0" w:line="240" w:lineRule="auto"/>
        <w:jc w:val="left"/>
        <w:rPr>
          <w:b w:val="1"/>
          <w:sz w:val="28"/>
          <w:szCs w:val="28"/>
        </w:rPr>
      </w:pPr>
      <w:r w:rsidDel="00000000" w:rsidR="00000000" w:rsidRPr="00000000">
        <w:rPr>
          <w:rtl w:val="0"/>
        </w:rPr>
      </w:r>
    </w:p>
    <w:p w:rsidR="00000000" w:rsidDel="00000000" w:rsidP="00000000" w:rsidRDefault="00000000" w:rsidRPr="00000000" w14:paraId="00000005">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6">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7">
      <w:pPr>
        <w:spacing w:after="0" w:line="240" w:lineRule="auto"/>
        <w:jc w:val="center"/>
        <w:rPr>
          <w:sz w:val="24"/>
          <w:szCs w:val="24"/>
        </w:rPr>
      </w:pPr>
      <w:r w:rsidDel="00000000" w:rsidR="00000000" w:rsidRPr="00000000">
        <w:rPr>
          <w:b w:val="1"/>
          <w:sz w:val="28"/>
          <w:szCs w:val="28"/>
          <w:rtl w:val="0"/>
        </w:rPr>
        <w:t xml:space="preserve">Reasonable Adjustments </w:t>
      </w:r>
      <w:r w:rsidDel="00000000" w:rsidR="00000000" w:rsidRPr="00000000">
        <w:rPr>
          <w:b w:val="1"/>
          <w:color w:val="000000"/>
          <w:sz w:val="28"/>
          <w:szCs w:val="28"/>
          <w:rtl w:val="0"/>
        </w:rPr>
        <w:t xml:space="preserve">Guidance and </w:t>
      </w:r>
      <w:r w:rsidDel="00000000" w:rsidR="00000000" w:rsidRPr="00000000">
        <w:rPr>
          <w:b w:val="1"/>
          <w:sz w:val="28"/>
          <w:szCs w:val="28"/>
          <w:rtl w:val="0"/>
        </w:rPr>
        <w:t xml:space="preserve">Access to Fair Assessment</w:t>
      </w:r>
      <w:r w:rsidDel="00000000" w:rsidR="00000000" w:rsidRPr="00000000">
        <w:rPr>
          <w:rtl w:val="0"/>
        </w:rPr>
      </w:r>
    </w:p>
    <w:p w:rsidR="00000000" w:rsidDel="00000000" w:rsidP="00000000" w:rsidRDefault="00000000" w:rsidRPr="00000000" w14:paraId="0000000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sz w:val="24"/>
          <w:szCs w:val="24"/>
        </w:rPr>
      </w:pPr>
      <w:r w:rsidDel="00000000" w:rsidR="00000000" w:rsidRPr="00000000">
        <w:rPr>
          <w:color w:val="000000"/>
          <w:sz w:val="24"/>
          <w:szCs w:val="24"/>
          <w:rtl w:val="0"/>
        </w:rPr>
        <w:t xml:space="preserve">Notting Hill College actively supports the policy of removing barriers to assessment that might disadvantage learners who have special needs or who experience special circumstances. </w:t>
      </w:r>
      <w:r w:rsidDel="00000000" w:rsidR="00000000" w:rsidRPr="00000000">
        <w:rPr>
          <w:rtl w:val="0"/>
        </w:rPr>
      </w:r>
    </w:p>
    <w:p w:rsidR="00000000" w:rsidDel="00000000" w:rsidP="00000000" w:rsidRDefault="00000000" w:rsidRPr="00000000" w14:paraId="0000000A">
      <w:pPr>
        <w:spacing w:after="0" w:line="240" w:lineRule="auto"/>
        <w:jc w:val="both"/>
        <w:rPr>
          <w:sz w:val="24"/>
          <w:szCs w:val="24"/>
        </w:rPr>
      </w:pPr>
      <w:r w:rsidDel="00000000" w:rsidR="00000000" w:rsidRPr="00000000">
        <w:rPr>
          <w:sz w:val="24"/>
          <w:szCs w:val="24"/>
          <w:rtl w:val="0"/>
        </w:rPr>
        <w:br w:type="textWrapping"/>
      </w:r>
    </w:p>
    <w:p w:rsidR="00000000" w:rsidDel="00000000" w:rsidP="00000000" w:rsidRDefault="00000000" w:rsidRPr="00000000" w14:paraId="0000000B">
      <w:pPr>
        <w:numPr>
          <w:ilvl w:val="0"/>
          <w:numId w:val="9"/>
        </w:numPr>
        <w:spacing w:after="0" w:line="240" w:lineRule="auto"/>
        <w:ind w:left="720" w:hanging="360"/>
        <w:jc w:val="both"/>
        <w:rPr>
          <w:color w:val="000000"/>
          <w:sz w:val="24"/>
          <w:szCs w:val="24"/>
          <w:u w:val="none"/>
        </w:rPr>
      </w:pPr>
      <w:r w:rsidDel="00000000" w:rsidR="00000000" w:rsidRPr="00000000">
        <w:rPr>
          <w:b w:val="1"/>
          <w:color w:val="000000"/>
          <w:sz w:val="24"/>
          <w:szCs w:val="24"/>
          <w:rtl w:val="0"/>
        </w:rPr>
        <w:t xml:space="preserve">What are access arrangements?</w:t>
      </w:r>
      <w:r w:rsidDel="00000000" w:rsidR="00000000" w:rsidRPr="00000000">
        <w:rPr>
          <w:color w:val="000000"/>
          <w:sz w:val="24"/>
          <w:szCs w:val="24"/>
          <w:rtl w:val="0"/>
        </w:rPr>
        <w:t xml:space="preserve"> </w:t>
      </w:r>
    </w:p>
    <w:p w:rsidR="00000000" w:rsidDel="00000000" w:rsidP="00000000" w:rsidRDefault="00000000" w:rsidRPr="00000000" w14:paraId="0000000C">
      <w:pPr>
        <w:spacing w:after="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sz w:val="24"/>
          <w:szCs w:val="24"/>
        </w:rPr>
      </w:pPr>
      <w:r w:rsidDel="00000000" w:rsidR="00000000" w:rsidRPr="00000000">
        <w:rPr>
          <w:color w:val="000000"/>
          <w:sz w:val="24"/>
          <w:szCs w:val="24"/>
          <w:rtl w:val="0"/>
        </w:rPr>
        <w:t xml:space="preserve">Awarding organisations are required to make sure that learners who have particular special requirements are able to demonstrate their skills, knowledge and understanding by making arrangements that will allow them to do this. Access arrangements are essentially modifications to the assessment or test conditions. These arrangements must not give an unfair advantage over other learners, as the aim is to provide a “level playing field” for all. Nor may the arrangements undermine the integrity of the qualification. </w:t>
      </w:r>
      <w:r w:rsidDel="00000000" w:rsidR="00000000" w:rsidRPr="00000000">
        <w:rPr>
          <w:rtl w:val="0"/>
        </w:rPr>
      </w:r>
    </w:p>
    <w:p w:rsidR="00000000" w:rsidDel="00000000" w:rsidP="00000000" w:rsidRDefault="00000000" w:rsidRPr="00000000" w14:paraId="0000000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sz w:val="24"/>
          <w:szCs w:val="24"/>
        </w:rPr>
      </w:pPr>
      <w:r w:rsidDel="00000000" w:rsidR="00000000" w:rsidRPr="00000000">
        <w:rPr>
          <w:color w:val="000000"/>
          <w:sz w:val="24"/>
          <w:szCs w:val="24"/>
          <w:rtl w:val="0"/>
        </w:rPr>
        <w:t xml:space="preserve">An example could be the provision of modified assessment material, such as large print or braille for visually impaired learners. Also Centres must give special consideration to learners who are affected by an unforeseen and temporary situation at the time of the assessment (eg illness, bereavement). </w:t>
      </w:r>
      <w:r w:rsidDel="00000000" w:rsidR="00000000" w:rsidRPr="00000000">
        <w:rPr>
          <w:rtl w:val="0"/>
        </w:rPr>
      </w:r>
    </w:p>
    <w:p w:rsidR="00000000" w:rsidDel="00000000" w:rsidP="00000000" w:rsidRDefault="00000000" w:rsidRPr="00000000" w14:paraId="0000001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sz w:val="24"/>
          <w:szCs w:val="24"/>
        </w:rPr>
      </w:pPr>
      <w:r w:rsidDel="00000000" w:rsidR="00000000" w:rsidRPr="00000000">
        <w:rPr>
          <w:color w:val="000000"/>
          <w:sz w:val="24"/>
          <w:szCs w:val="24"/>
          <w:rtl w:val="0"/>
        </w:rPr>
        <w:t xml:space="preserve">Centres may need to make reasonable adjustments to the assessment environment to meet Disability legislation so as not to discriminate against individuals. Further guidance may be found in the JCQ document “Access arrangements, special considerations and reasonable adjustments” which is available through the Ofqual website.</w:t>
      </w:r>
      <w:r w:rsidDel="00000000" w:rsidR="00000000" w:rsidRPr="00000000">
        <w:rPr>
          <w:rtl w:val="0"/>
        </w:rPr>
      </w:r>
    </w:p>
    <w:p w:rsidR="00000000" w:rsidDel="00000000" w:rsidP="00000000" w:rsidRDefault="00000000" w:rsidRPr="00000000" w14:paraId="0000001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sz w:val="24"/>
          <w:szCs w:val="24"/>
        </w:rPr>
      </w:pPr>
      <w:r w:rsidDel="00000000" w:rsidR="00000000" w:rsidRPr="00000000">
        <w:rPr>
          <w:color w:val="000000"/>
          <w:sz w:val="24"/>
          <w:szCs w:val="24"/>
          <w:rtl w:val="0"/>
        </w:rPr>
        <w:t xml:space="preserve">It is important to note that Centres must undertake the recruitment and acceptance of learners onto the programmes with integrity. This is to ensure that the qualification </w:t>
      </w:r>
      <w:r w:rsidDel="00000000" w:rsidR="00000000" w:rsidRPr="00000000">
        <w:rPr>
          <w:sz w:val="24"/>
          <w:szCs w:val="24"/>
          <w:rtl w:val="0"/>
        </w:rPr>
        <w:t xml:space="preserve">meets</w:t>
      </w:r>
      <w:r w:rsidDel="00000000" w:rsidR="00000000" w:rsidRPr="00000000">
        <w:rPr>
          <w:color w:val="000000"/>
          <w:sz w:val="24"/>
          <w:szCs w:val="24"/>
          <w:rtl w:val="0"/>
        </w:rPr>
        <w:t xml:space="preserve"> the learner’s needs, and also to see whether the learner has potential to successfully complete the assessment and gain the qualification. </w:t>
      </w:r>
      <w:r w:rsidDel="00000000" w:rsidR="00000000" w:rsidRPr="00000000">
        <w:rPr>
          <w:rtl w:val="0"/>
        </w:rPr>
      </w:r>
    </w:p>
    <w:p w:rsidR="00000000" w:rsidDel="00000000" w:rsidP="00000000" w:rsidRDefault="00000000" w:rsidRPr="00000000" w14:paraId="00000014">
      <w:pPr>
        <w:spacing w:after="0" w:line="240" w:lineRule="auto"/>
        <w:jc w:val="both"/>
        <w:rPr>
          <w:sz w:val="24"/>
          <w:szCs w:val="24"/>
        </w:rPr>
      </w:pPr>
      <w:r w:rsidDel="00000000" w:rsidR="00000000" w:rsidRPr="00000000">
        <w:rPr>
          <w:sz w:val="24"/>
          <w:szCs w:val="24"/>
          <w:rtl w:val="0"/>
        </w:rPr>
        <w:br w:type="textWrapping"/>
      </w:r>
    </w:p>
    <w:p w:rsidR="00000000" w:rsidDel="00000000" w:rsidP="00000000" w:rsidRDefault="00000000" w:rsidRPr="00000000" w14:paraId="00000015">
      <w:pPr>
        <w:numPr>
          <w:ilvl w:val="0"/>
          <w:numId w:val="9"/>
        </w:numPr>
        <w:spacing w:after="0" w:line="240" w:lineRule="auto"/>
        <w:ind w:left="720" w:hanging="360"/>
        <w:jc w:val="both"/>
        <w:rPr>
          <w:color w:val="000000"/>
          <w:sz w:val="24"/>
          <w:szCs w:val="24"/>
        </w:rPr>
      </w:pPr>
      <w:r w:rsidDel="00000000" w:rsidR="00000000" w:rsidRPr="00000000">
        <w:rPr>
          <w:b w:val="1"/>
          <w:color w:val="000000"/>
          <w:sz w:val="24"/>
          <w:szCs w:val="24"/>
          <w:rtl w:val="0"/>
        </w:rPr>
        <w:t xml:space="preserve">Reasonable Adjustments</w:t>
      </w:r>
    </w:p>
    <w:p w:rsidR="00000000" w:rsidDel="00000000" w:rsidP="00000000" w:rsidRDefault="00000000" w:rsidRPr="00000000" w14:paraId="00000016">
      <w:pPr>
        <w:spacing w:after="0"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17">
      <w:pPr>
        <w:spacing w:after="0" w:line="240" w:lineRule="auto"/>
        <w:jc w:val="both"/>
        <w:rPr>
          <w:sz w:val="24"/>
          <w:szCs w:val="24"/>
        </w:rPr>
      </w:pPr>
      <w:r w:rsidDel="00000000" w:rsidR="00000000" w:rsidRPr="00000000">
        <w:rPr>
          <w:color w:val="000000"/>
          <w:sz w:val="24"/>
          <w:szCs w:val="24"/>
          <w:rtl w:val="0"/>
        </w:rPr>
        <w:t xml:space="preserve">A reasonable adjustment is any action that helps to reduce the effect of a disability or difficulty that places the Learner at a substantial disadvantage in the assessment situation. Reasonable adjustments must not compromise the assessment process or the assessment objectives and may involve:</w:t>
      </w:r>
      <w:r w:rsidDel="00000000" w:rsidR="00000000" w:rsidRPr="00000000">
        <w:rPr>
          <w:rtl w:val="0"/>
        </w:rPr>
      </w:r>
    </w:p>
    <w:p w:rsidR="00000000" w:rsidDel="00000000" w:rsidP="00000000" w:rsidRDefault="00000000" w:rsidRPr="00000000" w14:paraId="00000018">
      <w:pPr>
        <w:numPr>
          <w:ilvl w:val="0"/>
          <w:numId w:val="7"/>
        </w:numPr>
        <w:spacing w:after="0" w:line="240" w:lineRule="auto"/>
        <w:ind w:left="720"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changing standard assessment arrangements, for example, allowing Learners extra time to complete the assessment activity;</w:t>
      </w:r>
    </w:p>
    <w:p w:rsidR="00000000" w:rsidDel="00000000" w:rsidP="00000000" w:rsidRDefault="00000000" w:rsidRPr="00000000" w14:paraId="0000001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E">
      <w:pPr>
        <w:numPr>
          <w:ilvl w:val="0"/>
          <w:numId w:val="7"/>
        </w:numPr>
        <w:spacing w:after="0" w:line="240" w:lineRule="auto"/>
        <w:ind w:left="720"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adapting assessment materials;</w:t>
      </w:r>
    </w:p>
    <w:p w:rsidR="00000000" w:rsidDel="00000000" w:rsidP="00000000" w:rsidRDefault="00000000" w:rsidRPr="00000000" w14:paraId="0000001F">
      <w:pPr>
        <w:numPr>
          <w:ilvl w:val="0"/>
          <w:numId w:val="7"/>
        </w:numPr>
        <w:spacing w:after="0" w:line="240" w:lineRule="auto"/>
        <w:ind w:left="720"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providing access facilitators during assessment, for example a sign language interpreter or a reader.</w:t>
      </w:r>
    </w:p>
    <w:p w:rsidR="00000000" w:rsidDel="00000000" w:rsidP="00000000" w:rsidRDefault="00000000" w:rsidRPr="00000000" w14:paraId="0000002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1">
      <w:pPr>
        <w:spacing w:after="0" w:line="240" w:lineRule="auto"/>
        <w:jc w:val="both"/>
        <w:rPr>
          <w:sz w:val="24"/>
          <w:szCs w:val="24"/>
        </w:rPr>
      </w:pPr>
      <w:r w:rsidDel="00000000" w:rsidR="00000000" w:rsidRPr="00000000">
        <w:rPr>
          <w:color w:val="000000"/>
          <w:sz w:val="24"/>
          <w:szCs w:val="24"/>
          <w:rtl w:val="0"/>
        </w:rPr>
        <w:t xml:space="preserve">Reasonable adjustments are approved or set in place before the assessment activity takes place; they constitute an arrangement to give the Learner access to the assessment activity. The use of a reasonable adjustment will not be taken into consideration during the assessment of a Learner’s work.</w:t>
      </w:r>
      <w:r w:rsidDel="00000000" w:rsidR="00000000" w:rsidRPr="00000000">
        <w:rPr>
          <w:rtl w:val="0"/>
        </w:rPr>
      </w:r>
    </w:p>
    <w:p w:rsidR="00000000" w:rsidDel="00000000" w:rsidP="00000000" w:rsidRDefault="00000000" w:rsidRPr="00000000" w14:paraId="0000002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3">
      <w:pPr>
        <w:spacing w:after="0" w:line="240" w:lineRule="auto"/>
        <w:jc w:val="both"/>
        <w:rPr>
          <w:sz w:val="24"/>
          <w:szCs w:val="24"/>
        </w:rPr>
      </w:pPr>
      <w:r w:rsidDel="00000000" w:rsidR="00000000" w:rsidRPr="00000000">
        <w:rPr>
          <w:color w:val="000000"/>
          <w:sz w:val="24"/>
          <w:szCs w:val="24"/>
          <w:rtl w:val="0"/>
        </w:rPr>
        <w:t xml:space="preserve">Awarding Organisations and Centres are only required by law to do what is reasonable in terms of giving access. What is reasonable will depend on the individual circumstances, cost implications and the practicality and effectiveness of the adjustment. Other factors, such as the need to maintain competence standards and health and safety, will also be taken into consideration.</w:t>
      </w:r>
      <w:r w:rsidDel="00000000" w:rsidR="00000000" w:rsidRPr="00000000">
        <w:rPr>
          <w:rtl w:val="0"/>
        </w:rPr>
      </w:r>
    </w:p>
    <w:p w:rsidR="00000000" w:rsidDel="00000000" w:rsidP="00000000" w:rsidRDefault="00000000" w:rsidRPr="00000000" w14:paraId="0000002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6">
      <w:pPr>
        <w:spacing w:after="0" w:line="240" w:lineRule="auto"/>
        <w:jc w:val="both"/>
        <w:rPr>
          <w:b w:val="1"/>
          <w:color w:val="000000"/>
          <w:sz w:val="24"/>
          <w:szCs w:val="24"/>
        </w:rPr>
      </w:pPr>
      <w:r w:rsidDel="00000000" w:rsidR="00000000" w:rsidRPr="00000000">
        <w:rPr>
          <w:b w:val="1"/>
          <w:color w:val="000000"/>
          <w:sz w:val="24"/>
          <w:szCs w:val="24"/>
          <w:rtl w:val="0"/>
        </w:rPr>
        <w:t xml:space="preserve">2.1  Making Reasonable Adjustments</w:t>
      </w:r>
    </w:p>
    <w:p w:rsidR="00000000" w:rsidDel="00000000" w:rsidP="00000000" w:rsidRDefault="00000000" w:rsidRPr="00000000" w14:paraId="00000027">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28">
      <w:pPr>
        <w:spacing w:after="0" w:line="240" w:lineRule="auto"/>
        <w:jc w:val="both"/>
        <w:rPr>
          <w:sz w:val="24"/>
          <w:szCs w:val="24"/>
        </w:rPr>
      </w:pPr>
      <w:r w:rsidDel="00000000" w:rsidR="00000000" w:rsidRPr="00000000">
        <w:rPr>
          <w:color w:val="000000"/>
          <w:sz w:val="24"/>
          <w:szCs w:val="24"/>
          <w:rtl w:val="0"/>
        </w:rPr>
        <w:t xml:space="preserve">All Awarding Organisations and Centres have a responsibility to ensure that the assessment process is robust and fair and allows the Learner to demonstrate his or her full potential.</w:t>
      </w:r>
      <w:r w:rsidDel="00000000" w:rsidR="00000000" w:rsidRPr="00000000">
        <w:rPr>
          <w:rtl w:val="0"/>
        </w:rPr>
      </w:r>
    </w:p>
    <w:p w:rsidR="00000000" w:rsidDel="00000000" w:rsidP="00000000" w:rsidRDefault="00000000" w:rsidRPr="00000000" w14:paraId="00000029">
      <w:pPr>
        <w:spacing w:after="0" w:line="240" w:lineRule="auto"/>
        <w:jc w:val="both"/>
        <w:rPr>
          <w:sz w:val="24"/>
          <w:szCs w:val="24"/>
        </w:rPr>
      </w:pPr>
      <w:r w:rsidDel="00000000" w:rsidR="00000000" w:rsidRPr="00000000">
        <w:rPr>
          <w:color w:val="000000"/>
          <w:sz w:val="24"/>
          <w:szCs w:val="24"/>
          <w:rtl w:val="0"/>
        </w:rPr>
        <w:t xml:space="preserve">Adjustments to assessments should:</w:t>
      </w:r>
      <w:r w:rsidDel="00000000" w:rsidR="00000000" w:rsidRPr="00000000">
        <w:rPr>
          <w:rtl w:val="0"/>
        </w:rPr>
      </w:r>
    </w:p>
    <w:p w:rsidR="00000000" w:rsidDel="00000000" w:rsidP="00000000" w:rsidRDefault="00000000" w:rsidRPr="00000000" w14:paraId="0000002A">
      <w:pPr>
        <w:numPr>
          <w:ilvl w:val="0"/>
          <w:numId w:val="1"/>
        </w:numPr>
        <w:spacing w:after="0" w:line="240" w:lineRule="auto"/>
        <w:ind w:left="720"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not invalidate the assessment requirements of the qualification</w:t>
      </w:r>
    </w:p>
    <w:p w:rsidR="00000000" w:rsidDel="00000000" w:rsidP="00000000" w:rsidRDefault="00000000" w:rsidRPr="00000000" w14:paraId="0000002B">
      <w:pPr>
        <w:numPr>
          <w:ilvl w:val="0"/>
          <w:numId w:val="1"/>
        </w:numPr>
        <w:spacing w:after="0" w:line="240" w:lineRule="auto"/>
        <w:ind w:left="720"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not give Learners an unfair advantage</w:t>
      </w:r>
    </w:p>
    <w:p w:rsidR="00000000" w:rsidDel="00000000" w:rsidP="00000000" w:rsidRDefault="00000000" w:rsidRPr="00000000" w14:paraId="0000002C">
      <w:pPr>
        <w:numPr>
          <w:ilvl w:val="0"/>
          <w:numId w:val="1"/>
        </w:numPr>
        <w:spacing w:after="0" w:line="240" w:lineRule="auto"/>
        <w:ind w:left="720"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reflect the Learner’s normal way of working</w:t>
      </w:r>
    </w:p>
    <w:p w:rsidR="00000000" w:rsidDel="00000000" w:rsidP="00000000" w:rsidRDefault="00000000" w:rsidRPr="00000000" w14:paraId="0000002D">
      <w:pPr>
        <w:numPr>
          <w:ilvl w:val="0"/>
          <w:numId w:val="1"/>
        </w:numPr>
        <w:spacing w:after="0" w:line="240" w:lineRule="auto"/>
        <w:ind w:left="720"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be based on the individual need of the Learner.</w:t>
      </w:r>
    </w:p>
    <w:p w:rsidR="00000000" w:rsidDel="00000000" w:rsidP="00000000" w:rsidRDefault="00000000" w:rsidRPr="00000000" w14:paraId="0000002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sz w:val="24"/>
          <w:szCs w:val="24"/>
        </w:rPr>
      </w:pPr>
      <w:r w:rsidDel="00000000" w:rsidR="00000000" w:rsidRPr="00000000">
        <w:rPr>
          <w:color w:val="000000"/>
          <w:sz w:val="24"/>
          <w:szCs w:val="24"/>
          <w:rtl w:val="0"/>
        </w:rPr>
        <w:t xml:space="preserve">Requests for Reasonable Adjustments should be made either to the Head of Centre/ Principal or to the External Awarding Body as relevant.  Evidence may be requested to support the claim, e.g. Medical Report, Certificate of Vision Impairment etc.  </w:t>
      </w:r>
      <w:r w:rsidDel="00000000" w:rsidR="00000000" w:rsidRPr="00000000">
        <w:rPr>
          <w:b w:val="1"/>
          <w:i w:val="1"/>
          <w:color w:val="000000"/>
          <w:sz w:val="24"/>
          <w:szCs w:val="24"/>
          <w:rtl w:val="0"/>
        </w:rPr>
        <w:t xml:space="preserve">Thorough records are to be kept of all arrangements made.  These may be requested by external awarding bodies as part of on-going monitoring.  </w:t>
      </w:r>
      <w:r w:rsidDel="00000000" w:rsidR="00000000" w:rsidRPr="00000000">
        <w:rPr>
          <w:rtl w:val="0"/>
        </w:rPr>
      </w:r>
    </w:p>
    <w:p w:rsidR="00000000" w:rsidDel="00000000" w:rsidP="00000000" w:rsidRDefault="00000000" w:rsidRPr="00000000" w14:paraId="00000030">
      <w:pPr>
        <w:spacing w:after="0" w:line="240" w:lineRule="auto"/>
        <w:jc w:val="both"/>
        <w:rPr>
          <w:sz w:val="24"/>
          <w:szCs w:val="24"/>
        </w:rPr>
      </w:pPr>
      <w:r w:rsidDel="00000000" w:rsidR="00000000" w:rsidRPr="00000000">
        <w:rPr>
          <w:sz w:val="24"/>
          <w:szCs w:val="24"/>
          <w:rtl w:val="0"/>
        </w:rPr>
        <w:br w:type="textWrapping"/>
      </w:r>
    </w:p>
    <w:p w:rsidR="00000000" w:rsidDel="00000000" w:rsidP="00000000" w:rsidRDefault="00000000" w:rsidRPr="00000000" w14:paraId="00000031">
      <w:pPr>
        <w:numPr>
          <w:ilvl w:val="0"/>
          <w:numId w:val="9"/>
        </w:numPr>
        <w:spacing w:after="0" w:line="240" w:lineRule="auto"/>
        <w:ind w:left="720" w:hanging="360"/>
        <w:jc w:val="both"/>
        <w:rPr>
          <w:b w:val="1"/>
          <w:color w:val="000000"/>
          <w:sz w:val="24"/>
          <w:szCs w:val="24"/>
          <w:u w:val="none"/>
        </w:rPr>
      </w:pPr>
      <w:r w:rsidDel="00000000" w:rsidR="00000000" w:rsidRPr="00000000">
        <w:rPr>
          <w:b w:val="1"/>
          <w:color w:val="000000"/>
          <w:sz w:val="24"/>
          <w:szCs w:val="24"/>
          <w:rtl w:val="0"/>
        </w:rPr>
        <w:t xml:space="preserve">What are special considerations? </w:t>
      </w:r>
    </w:p>
    <w:p w:rsidR="00000000" w:rsidDel="00000000" w:rsidP="00000000" w:rsidRDefault="00000000" w:rsidRPr="00000000" w14:paraId="00000032">
      <w:pPr>
        <w:spacing w:after="0"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33">
      <w:pPr>
        <w:spacing w:after="0" w:line="240" w:lineRule="auto"/>
        <w:jc w:val="both"/>
        <w:rPr>
          <w:color w:val="000000"/>
          <w:sz w:val="24"/>
          <w:szCs w:val="24"/>
        </w:rPr>
      </w:pPr>
      <w:r w:rsidDel="00000000" w:rsidR="00000000" w:rsidRPr="00000000">
        <w:rPr>
          <w:color w:val="000000"/>
          <w:sz w:val="24"/>
          <w:szCs w:val="24"/>
          <w:rtl w:val="0"/>
        </w:rPr>
        <w:t xml:space="preserve">Special considerations are adjustments made to the marking or outcome of an assessment (after the assessment has taken place) when the learner was present or prepared for the assessment but may have been disadvantaged by temporary illness, indisposition or other </w:t>
      </w:r>
    </w:p>
    <w:p w:rsidR="00000000" w:rsidDel="00000000" w:rsidP="00000000" w:rsidRDefault="00000000" w:rsidRPr="00000000" w14:paraId="0000003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B">
      <w:pPr>
        <w:spacing w:after="0" w:line="240" w:lineRule="auto"/>
        <w:jc w:val="both"/>
        <w:rPr>
          <w:sz w:val="24"/>
          <w:szCs w:val="24"/>
        </w:rPr>
      </w:pPr>
      <w:r w:rsidDel="00000000" w:rsidR="00000000" w:rsidRPr="00000000">
        <w:rPr>
          <w:color w:val="000000"/>
          <w:sz w:val="24"/>
          <w:szCs w:val="24"/>
          <w:rtl w:val="0"/>
        </w:rPr>
        <w:t xml:space="preserve">unforeseen </w:t>
      </w:r>
      <w:r w:rsidDel="00000000" w:rsidR="00000000" w:rsidRPr="00000000">
        <w:rPr>
          <w:sz w:val="24"/>
          <w:szCs w:val="24"/>
          <w:rtl w:val="0"/>
        </w:rPr>
        <w:t xml:space="preserve">circumstances</w:t>
      </w:r>
      <w:r w:rsidDel="00000000" w:rsidR="00000000" w:rsidRPr="00000000">
        <w:rPr>
          <w:color w:val="000000"/>
          <w:sz w:val="24"/>
          <w:szCs w:val="24"/>
          <w:rtl w:val="0"/>
        </w:rPr>
        <w:t xml:space="preserve">, injury or adverse circumstances that have come about at the time of the assessment. </w:t>
      </w:r>
      <w:r w:rsidDel="00000000" w:rsidR="00000000" w:rsidRPr="00000000">
        <w:rPr>
          <w:rtl w:val="0"/>
        </w:rPr>
      </w:r>
    </w:p>
    <w:p w:rsidR="00000000" w:rsidDel="00000000" w:rsidP="00000000" w:rsidRDefault="00000000" w:rsidRPr="00000000" w14:paraId="0000003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D">
      <w:pPr>
        <w:spacing w:after="0" w:line="240" w:lineRule="auto"/>
        <w:jc w:val="both"/>
        <w:rPr>
          <w:sz w:val="24"/>
          <w:szCs w:val="24"/>
        </w:rPr>
      </w:pPr>
      <w:r w:rsidDel="00000000" w:rsidR="00000000" w:rsidRPr="00000000">
        <w:rPr>
          <w:color w:val="000000"/>
          <w:sz w:val="24"/>
          <w:szCs w:val="24"/>
          <w:rtl w:val="0"/>
        </w:rPr>
        <w:t xml:space="preserve">The following is a list of examples which might be eligible for special considerations (the list is not exhaustive):</w:t>
      </w:r>
      <w:r w:rsidDel="00000000" w:rsidR="00000000" w:rsidRPr="00000000">
        <w:rPr>
          <w:rtl w:val="0"/>
        </w:rPr>
      </w:r>
    </w:p>
    <w:p w:rsidR="00000000" w:rsidDel="00000000" w:rsidP="00000000" w:rsidRDefault="00000000" w:rsidRPr="00000000" w14:paraId="0000003E">
      <w:pPr>
        <w:numPr>
          <w:ilvl w:val="0"/>
          <w:numId w:val="8"/>
        </w:numPr>
        <w:spacing w:after="0" w:line="240" w:lineRule="auto"/>
        <w:ind w:left="720"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serious illness of the Learner</w:t>
      </w:r>
    </w:p>
    <w:p w:rsidR="00000000" w:rsidDel="00000000" w:rsidP="00000000" w:rsidRDefault="00000000" w:rsidRPr="00000000" w14:paraId="0000003F">
      <w:pPr>
        <w:numPr>
          <w:ilvl w:val="0"/>
          <w:numId w:val="8"/>
        </w:numPr>
        <w:spacing w:after="0" w:line="240" w:lineRule="auto"/>
        <w:ind w:left="720"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serious illness of a parent</w:t>
      </w:r>
    </w:p>
    <w:p w:rsidR="00000000" w:rsidDel="00000000" w:rsidP="00000000" w:rsidRDefault="00000000" w:rsidRPr="00000000" w14:paraId="00000040">
      <w:pPr>
        <w:numPr>
          <w:ilvl w:val="0"/>
          <w:numId w:val="8"/>
        </w:numPr>
        <w:spacing w:after="0" w:line="240" w:lineRule="auto"/>
        <w:ind w:left="720"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bereavement of an immediate family member</w:t>
      </w:r>
    </w:p>
    <w:p w:rsidR="00000000" w:rsidDel="00000000" w:rsidP="00000000" w:rsidRDefault="00000000" w:rsidRPr="00000000" w14:paraId="00000041">
      <w:pPr>
        <w:numPr>
          <w:ilvl w:val="0"/>
          <w:numId w:val="8"/>
        </w:numPr>
        <w:spacing w:after="0" w:line="240" w:lineRule="auto"/>
        <w:ind w:left="720"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incapacitating illness of the Learner</w:t>
      </w:r>
    </w:p>
    <w:p w:rsidR="00000000" w:rsidDel="00000000" w:rsidP="00000000" w:rsidRDefault="00000000" w:rsidRPr="00000000" w14:paraId="00000042">
      <w:pPr>
        <w:numPr>
          <w:ilvl w:val="0"/>
          <w:numId w:val="8"/>
        </w:numPr>
        <w:spacing w:after="0" w:line="240" w:lineRule="auto"/>
        <w:ind w:left="720"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recent domestic crises</w:t>
      </w:r>
      <w:r w:rsidDel="00000000" w:rsidR="00000000" w:rsidRPr="00000000">
        <w:rPr>
          <w:rtl w:val="0"/>
        </w:rPr>
      </w:r>
    </w:p>
    <w:p w:rsidR="00000000" w:rsidDel="00000000" w:rsidP="00000000" w:rsidRDefault="00000000" w:rsidRPr="00000000" w14:paraId="00000043">
      <w:pPr>
        <w:numPr>
          <w:ilvl w:val="0"/>
          <w:numId w:val="8"/>
        </w:numPr>
        <w:spacing w:after="0" w:line="240" w:lineRule="auto"/>
        <w:ind w:left="720"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accident and injury to the Learner</w:t>
      </w:r>
      <w:r w:rsidDel="00000000" w:rsidR="00000000" w:rsidRPr="00000000">
        <w:rPr>
          <w:rtl w:val="0"/>
        </w:rPr>
      </w:r>
    </w:p>
    <w:p w:rsidR="00000000" w:rsidDel="00000000" w:rsidP="00000000" w:rsidRDefault="00000000" w:rsidRPr="00000000" w14:paraId="00000044">
      <w:pPr>
        <w:numPr>
          <w:ilvl w:val="0"/>
          <w:numId w:val="8"/>
        </w:numPr>
        <w:spacing w:after="0" w:line="240" w:lineRule="auto"/>
        <w:ind w:left="720"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trauma caused by a recent event or experience.</w:t>
      </w:r>
    </w:p>
    <w:p w:rsidR="00000000" w:rsidDel="00000000" w:rsidP="00000000" w:rsidRDefault="00000000" w:rsidRPr="00000000" w14:paraId="0000004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6">
      <w:pPr>
        <w:spacing w:after="0" w:line="240" w:lineRule="auto"/>
        <w:jc w:val="both"/>
        <w:rPr>
          <w:sz w:val="24"/>
          <w:szCs w:val="24"/>
        </w:rPr>
      </w:pPr>
      <w:r w:rsidDel="00000000" w:rsidR="00000000" w:rsidRPr="00000000">
        <w:rPr>
          <w:color w:val="000000"/>
          <w:sz w:val="24"/>
          <w:szCs w:val="24"/>
          <w:rtl w:val="0"/>
        </w:rPr>
        <w:t xml:space="preserve">Learners cannot enter a plea for special considerations for assessment solely on the grounds of disability or learning difficulty.</w:t>
      </w:r>
      <w:r w:rsidDel="00000000" w:rsidR="00000000" w:rsidRPr="00000000">
        <w:rPr>
          <w:rtl w:val="0"/>
        </w:rPr>
      </w:r>
    </w:p>
    <w:p w:rsidR="00000000" w:rsidDel="00000000" w:rsidP="00000000" w:rsidRDefault="00000000" w:rsidRPr="00000000" w14:paraId="0000004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8">
      <w:pPr>
        <w:spacing w:after="0" w:line="240" w:lineRule="auto"/>
        <w:jc w:val="both"/>
        <w:rPr>
          <w:sz w:val="24"/>
          <w:szCs w:val="24"/>
        </w:rPr>
      </w:pPr>
      <w:r w:rsidDel="00000000" w:rsidR="00000000" w:rsidRPr="00000000">
        <w:rPr>
          <w:color w:val="000000"/>
          <w:sz w:val="24"/>
          <w:szCs w:val="24"/>
          <w:rtl w:val="0"/>
        </w:rPr>
        <w:t xml:space="preserve">Special consideration should not give the Learner an unfair advantage. The Learner’s results must reflect his or her achievement in the assessment and not necessarily his or her potential ability.</w:t>
      </w:r>
      <w:r w:rsidDel="00000000" w:rsidR="00000000" w:rsidRPr="00000000">
        <w:rPr>
          <w:rtl w:val="0"/>
        </w:rPr>
      </w:r>
    </w:p>
    <w:p w:rsidR="00000000" w:rsidDel="00000000" w:rsidP="00000000" w:rsidRDefault="00000000" w:rsidRPr="00000000" w14:paraId="0000004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A">
      <w:pPr>
        <w:spacing w:after="0" w:line="240" w:lineRule="auto"/>
        <w:jc w:val="both"/>
        <w:rPr>
          <w:sz w:val="24"/>
          <w:szCs w:val="24"/>
        </w:rPr>
      </w:pPr>
      <w:r w:rsidDel="00000000" w:rsidR="00000000" w:rsidRPr="00000000">
        <w:rPr>
          <w:color w:val="000000"/>
          <w:sz w:val="24"/>
          <w:szCs w:val="24"/>
          <w:rtl w:val="0"/>
        </w:rPr>
        <w:t xml:space="preserve">Special consideration may result in a small post-assessment adjustment to the mark of the Learner. The size of the adjustment will depend on the circumstances during the assessment and will reflect the difficulty faced by the Learner but will always be a minor adjustment, as to do more may jeopardise the standard.</w:t>
      </w:r>
      <w:r w:rsidDel="00000000" w:rsidR="00000000" w:rsidRPr="00000000">
        <w:rPr>
          <w:rtl w:val="0"/>
        </w:rPr>
      </w:r>
    </w:p>
    <w:p w:rsidR="00000000" w:rsidDel="00000000" w:rsidP="00000000" w:rsidRDefault="00000000" w:rsidRPr="00000000" w14:paraId="0000004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C">
      <w:pPr>
        <w:spacing w:after="0" w:line="240" w:lineRule="auto"/>
        <w:jc w:val="both"/>
        <w:rPr>
          <w:sz w:val="24"/>
          <w:szCs w:val="24"/>
        </w:rPr>
      </w:pPr>
      <w:r w:rsidDel="00000000" w:rsidR="00000000" w:rsidRPr="00000000">
        <w:rPr>
          <w:color w:val="000000"/>
          <w:sz w:val="24"/>
          <w:szCs w:val="24"/>
          <w:rtl w:val="0"/>
        </w:rPr>
        <w:t xml:space="preserve">Where an assessment requires a competence to be met fully, it may not be possible to apply any special consideration. In some circumstances it may be more appropriate to offer the Learner an opportunity to retake the assessment at a later date or to extend the registration period so that the Learner has more time to complete the assessment activity.</w:t>
      </w:r>
      <w:r w:rsidDel="00000000" w:rsidR="00000000" w:rsidRPr="00000000">
        <w:rPr>
          <w:rtl w:val="0"/>
        </w:rPr>
      </w:r>
    </w:p>
    <w:p w:rsidR="00000000" w:rsidDel="00000000" w:rsidP="00000000" w:rsidRDefault="00000000" w:rsidRPr="00000000" w14:paraId="0000004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E">
      <w:pPr>
        <w:spacing w:after="0" w:line="240" w:lineRule="auto"/>
        <w:jc w:val="both"/>
        <w:rPr>
          <w:sz w:val="24"/>
          <w:szCs w:val="24"/>
        </w:rPr>
      </w:pPr>
      <w:r w:rsidDel="00000000" w:rsidR="00000000" w:rsidRPr="00000000">
        <w:rPr>
          <w:color w:val="000000"/>
          <w:sz w:val="24"/>
          <w:szCs w:val="24"/>
          <w:rtl w:val="0"/>
        </w:rPr>
        <w:t xml:space="preserve">It may not be possible to apply special considerations where: </w:t>
      </w:r>
      <w:r w:rsidDel="00000000" w:rsidR="00000000" w:rsidRPr="00000000">
        <w:rPr>
          <w:rtl w:val="0"/>
        </w:rPr>
      </w:r>
    </w:p>
    <w:p w:rsidR="00000000" w:rsidDel="00000000" w:rsidP="00000000" w:rsidRDefault="00000000" w:rsidRPr="00000000" w14:paraId="0000004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0">
      <w:pPr>
        <w:numPr>
          <w:ilvl w:val="0"/>
          <w:numId w:val="2"/>
        </w:numPr>
        <w:spacing w:after="0" w:line="240" w:lineRule="auto"/>
        <w:ind w:left="720"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An assessment requires demonstration of a practical competence </w:t>
      </w:r>
    </w:p>
    <w:p w:rsidR="00000000" w:rsidDel="00000000" w:rsidP="00000000" w:rsidRDefault="00000000" w:rsidRPr="00000000" w14:paraId="00000051">
      <w:pPr>
        <w:numPr>
          <w:ilvl w:val="0"/>
          <w:numId w:val="2"/>
        </w:numPr>
        <w:spacing w:after="0" w:line="240" w:lineRule="auto"/>
        <w:ind w:left="720"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The assessment criteria have to be fully met </w:t>
      </w:r>
    </w:p>
    <w:p w:rsidR="00000000" w:rsidDel="00000000" w:rsidP="00000000" w:rsidRDefault="00000000" w:rsidRPr="00000000" w14:paraId="00000052">
      <w:pPr>
        <w:numPr>
          <w:ilvl w:val="0"/>
          <w:numId w:val="2"/>
        </w:numPr>
        <w:spacing w:after="0" w:line="240" w:lineRule="auto"/>
        <w:ind w:left="720"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Units or qualifications confer licence to practice. </w:t>
      </w:r>
    </w:p>
    <w:p w:rsidR="00000000" w:rsidDel="00000000" w:rsidP="00000000" w:rsidRDefault="00000000" w:rsidRPr="00000000" w14:paraId="0000005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4">
      <w:pPr>
        <w:spacing w:after="0" w:line="240" w:lineRule="auto"/>
        <w:jc w:val="both"/>
        <w:rPr>
          <w:b w:val="1"/>
          <w:color w:val="000000"/>
          <w:sz w:val="24"/>
          <w:szCs w:val="24"/>
        </w:rPr>
      </w:pPr>
      <w:r w:rsidDel="00000000" w:rsidR="00000000" w:rsidRPr="00000000">
        <w:rPr>
          <w:b w:val="1"/>
          <w:color w:val="000000"/>
          <w:sz w:val="24"/>
          <w:szCs w:val="24"/>
          <w:rtl w:val="0"/>
        </w:rPr>
        <w:t xml:space="preserve">3.1 Applying for Special Considerations </w:t>
      </w:r>
    </w:p>
    <w:p w:rsidR="00000000" w:rsidDel="00000000" w:rsidP="00000000" w:rsidRDefault="00000000" w:rsidRPr="00000000" w14:paraId="00000055">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56">
      <w:pPr>
        <w:spacing w:after="0" w:line="240" w:lineRule="auto"/>
        <w:jc w:val="both"/>
        <w:rPr>
          <w:color w:val="000000"/>
          <w:sz w:val="24"/>
          <w:szCs w:val="24"/>
        </w:rPr>
      </w:pPr>
      <w:r w:rsidDel="00000000" w:rsidR="00000000" w:rsidRPr="00000000">
        <w:rPr>
          <w:color w:val="000000"/>
          <w:sz w:val="24"/>
          <w:szCs w:val="24"/>
          <w:rtl w:val="0"/>
        </w:rPr>
        <w:t xml:space="preserve">Requests for Special Considerations should be made either to the Head of Centre/ Principal or to the External Awarding Body as relevant.  Evidence may be requested to support the </w:t>
      </w:r>
    </w:p>
    <w:p w:rsidR="00000000" w:rsidDel="00000000" w:rsidP="00000000" w:rsidRDefault="00000000" w:rsidRPr="00000000" w14:paraId="0000005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D">
      <w:pPr>
        <w:spacing w:after="0" w:line="240" w:lineRule="auto"/>
        <w:jc w:val="both"/>
        <w:rPr>
          <w:sz w:val="24"/>
          <w:szCs w:val="24"/>
        </w:rPr>
      </w:pPr>
      <w:r w:rsidDel="00000000" w:rsidR="00000000" w:rsidRPr="00000000">
        <w:rPr>
          <w:color w:val="000000"/>
          <w:sz w:val="24"/>
          <w:szCs w:val="24"/>
          <w:rtl w:val="0"/>
        </w:rPr>
        <w:t xml:space="preserve">claim, </w:t>
      </w:r>
      <w:r w:rsidDel="00000000" w:rsidR="00000000" w:rsidRPr="00000000">
        <w:rPr>
          <w:sz w:val="24"/>
          <w:szCs w:val="24"/>
          <w:rtl w:val="0"/>
        </w:rPr>
        <w:t xml:space="preserve">e.g. in</w:t>
      </w:r>
      <w:r w:rsidDel="00000000" w:rsidR="00000000" w:rsidRPr="00000000">
        <w:rPr>
          <w:color w:val="000000"/>
          <w:sz w:val="24"/>
          <w:szCs w:val="24"/>
          <w:rtl w:val="0"/>
        </w:rPr>
        <w:t xml:space="preserve"> the case of an illness, a doctor’s letter or a statement of events from the Centre.  </w:t>
      </w:r>
      <w:r w:rsidDel="00000000" w:rsidR="00000000" w:rsidRPr="00000000">
        <w:rPr>
          <w:b w:val="1"/>
          <w:i w:val="1"/>
          <w:color w:val="000000"/>
          <w:sz w:val="24"/>
          <w:szCs w:val="24"/>
          <w:rtl w:val="0"/>
        </w:rPr>
        <w:t xml:space="preserve">Thorough records are to be kept of all arrangements made.  These may be requested by external awarding bodies as part of on-going monitoring.  </w:t>
      </w:r>
      <w:r w:rsidDel="00000000" w:rsidR="00000000" w:rsidRPr="00000000">
        <w:rPr>
          <w:rtl w:val="0"/>
        </w:rPr>
      </w:r>
    </w:p>
    <w:p w:rsidR="00000000" w:rsidDel="00000000" w:rsidP="00000000" w:rsidRDefault="00000000" w:rsidRPr="00000000" w14:paraId="0000005E">
      <w:pPr>
        <w:spacing w:after="240" w:line="240" w:lineRule="auto"/>
        <w:jc w:val="both"/>
        <w:rPr>
          <w:sz w:val="24"/>
          <w:szCs w:val="24"/>
        </w:rPr>
      </w:pPr>
      <w:r w:rsidDel="00000000" w:rsidR="00000000" w:rsidRPr="00000000">
        <w:rPr>
          <w:rtl w:val="0"/>
        </w:rPr>
      </w:r>
    </w:p>
    <w:p w:rsidR="00000000" w:rsidDel="00000000" w:rsidP="00000000" w:rsidRDefault="00000000" w:rsidRPr="00000000" w14:paraId="0000005F">
      <w:pPr>
        <w:spacing w:line="240" w:lineRule="auto"/>
        <w:jc w:val="both"/>
        <w:rPr>
          <w:sz w:val="24"/>
          <w:szCs w:val="24"/>
        </w:rPr>
      </w:pPr>
      <w:r w:rsidDel="00000000" w:rsidR="00000000" w:rsidRPr="00000000">
        <w:rPr>
          <w:b w:val="1"/>
          <w:color w:val="000000"/>
          <w:sz w:val="24"/>
          <w:szCs w:val="24"/>
          <w:rtl w:val="0"/>
        </w:rPr>
        <w:t xml:space="preserve">Examples of the most common situations </w:t>
      </w:r>
      <w:r w:rsidDel="00000000" w:rsidR="00000000" w:rsidRPr="00000000">
        <w:rPr>
          <w:rtl w:val="0"/>
        </w:rPr>
      </w:r>
    </w:p>
    <w:p w:rsidR="00000000" w:rsidDel="00000000" w:rsidP="00000000" w:rsidRDefault="00000000" w:rsidRPr="00000000" w14:paraId="00000060">
      <w:pPr>
        <w:spacing w:after="0" w:line="240" w:lineRule="auto"/>
        <w:jc w:val="both"/>
        <w:rPr>
          <w:sz w:val="24"/>
          <w:szCs w:val="24"/>
        </w:rPr>
      </w:pPr>
      <w:r w:rsidDel="00000000" w:rsidR="00000000" w:rsidRPr="00000000">
        <w:rPr>
          <w:color w:val="000000"/>
          <w:sz w:val="24"/>
          <w:szCs w:val="24"/>
          <w:rtl w:val="0"/>
        </w:rPr>
        <w:t xml:space="preserve">Visual impairment and possible arrangements: </w:t>
      </w:r>
      <w:r w:rsidDel="00000000" w:rsidR="00000000" w:rsidRPr="00000000">
        <w:rPr>
          <w:rtl w:val="0"/>
        </w:rPr>
      </w:r>
    </w:p>
    <w:p w:rsidR="00000000" w:rsidDel="00000000" w:rsidP="00000000" w:rsidRDefault="00000000" w:rsidRPr="00000000" w14:paraId="00000061">
      <w:pPr>
        <w:numPr>
          <w:ilvl w:val="0"/>
          <w:numId w:val="3"/>
        </w:numPr>
        <w:spacing w:after="0" w:line="240" w:lineRule="auto"/>
        <w:ind w:left="720"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Modified assessment paperwork with large print, Braille or Moon </w:t>
      </w:r>
    </w:p>
    <w:p w:rsidR="00000000" w:rsidDel="00000000" w:rsidP="00000000" w:rsidRDefault="00000000" w:rsidRPr="00000000" w14:paraId="00000062">
      <w:pPr>
        <w:numPr>
          <w:ilvl w:val="0"/>
          <w:numId w:val="3"/>
        </w:numPr>
        <w:spacing w:after="0" w:line="240" w:lineRule="auto"/>
        <w:ind w:left="720"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A reader </w:t>
      </w:r>
    </w:p>
    <w:p w:rsidR="00000000" w:rsidDel="00000000" w:rsidP="00000000" w:rsidRDefault="00000000" w:rsidRPr="00000000" w14:paraId="00000063">
      <w:pPr>
        <w:numPr>
          <w:ilvl w:val="0"/>
          <w:numId w:val="3"/>
        </w:numPr>
        <w:spacing w:after="0" w:line="240" w:lineRule="auto"/>
        <w:ind w:left="720"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A scribe (who takes dictation) </w:t>
      </w:r>
    </w:p>
    <w:p w:rsidR="00000000" w:rsidDel="00000000" w:rsidP="00000000" w:rsidRDefault="00000000" w:rsidRPr="00000000" w14:paraId="00000064">
      <w:pPr>
        <w:numPr>
          <w:ilvl w:val="0"/>
          <w:numId w:val="3"/>
        </w:numPr>
        <w:spacing w:after="0" w:line="240" w:lineRule="auto"/>
        <w:ind w:left="720"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Audio recording equipment </w:t>
      </w:r>
    </w:p>
    <w:p w:rsidR="00000000" w:rsidDel="00000000" w:rsidP="00000000" w:rsidRDefault="00000000" w:rsidRPr="00000000" w14:paraId="00000065">
      <w:pPr>
        <w:numPr>
          <w:ilvl w:val="0"/>
          <w:numId w:val="3"/>
        </w:numPr>
        <w:spacing w:after="0" w:line="240" w:lineRule="auto"/>
        <w:ind w:left="720"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A keyboard to produce typescript or raised type responses </w:t>
      </w:r>
      <w:r w:rsidDel="00000000" w:rsidR="00000000" w:rsidRPr="00000000">
        <w:rPr>
          <w:rtl w:val="0"/>
        </w:rPr>
      </w:r>
    </w:p>
    <w:p w:rsidR="00000000" w:rsidDel="00000000" w:rsidP="00000000" w:rsidRDefault="00000000" w:rsidRPr="00000000" w14:paraId="0000006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7">
      <w:pPr>
        <w:spacing w:after="0" w:line="240" w:lineRule="auto"/>
        <w:jc w:val="both"/>
        <w:rPr>
          <w:sz w:val="24"/>
          <w:szCs w:val="24"/>
        </w:rPr>
      </w:pPr>
      <w:r w:rsidDel="00000000" w:rsidR="00000000" w:rsidRPr="00000000">
        <w:rPr>
          <w:color w:val="000000"/>
          <w:sz w:val="24"/>
          <w:szCs w:val="24"/>
          <w:rtl w:val="0"/>
        </w:rPr>
        <w:t xml:space="preserve">Hearing impairment and possible arrangements: </w:t>
      </w:r>
      <w:r w:rsidDel="00000000" w:rsidR="00000000" w:rsidRPr="00000000">
        <w:rPr>
          <w:rtl w:val="0"/>
        </w:rPr>
      </w:r>
    </w:p>
    <w:p w:rsidR="00000000" w:rsidDel="00000000" w:rsidP="00000000" w:rsidRDefault="00000000" w:rsidRPr="00000000" w14:paraId="00000068">
      <w:pPr>
        <w:numPr>
          <w:ilvl w:val="0"/>
          <w:numId w:val="4"/>
        </w:numPr>
        <w:spacing w:after="0" w:line="240" w:lineRule="auto"/>
        <w:ind w:left="720"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Communicators / interpreters </w:t>
      </w:r>
      <w:r w:rsidDel="00000000" w:rsidR="00000000" w:rsidRPr="00000000">
        <w:rPr>
          <w:rtl w:val="0"/>
        </w:rPr>
      </w:r>
    </w:p>
    <w:p w:rsidR="00000000" w:rsidDel="00000000" w:rsidP="00000000" w:rsidRDefault="00000000" w:rsidRPr="00000000" w14:paraId="00000069">
      <w:pPr>
        <w:numPr>
          <w:ilvl w:val="0"/>
          <w:numId w:val="4"/>
        </w:numPr>
        <w:spacing w:after="0" w:line="240" w:lineRule="auto"/>
        <w:ind w:left="720"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Mechanical and electronic aids </w:t>
      </w:r>
    </w:p>
    <w:p w:rsidR="00000000" w:rsidDel="00000000" w:rsidP="00000000" w:rsidRDefault="00000000" w:rsidRPr="00000000" w14:paraId="0000006A">
      <w:pPr>
        <w:numPr>
          <w:ilvl w:val="0"/>
          <w:numId w:val="4"/>
        </w:numPr>
        <w:spacing w:after="0" w:line="240" w:lineRule="auto"/>
        <w:ind w:left="720"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Induction loops </w:t>
      </w:r>
    </w:p>
    <w:p w:rsidR="00000000" w:rsidDel="00000000" w:rsidP="00000000" w:rsidRDefault="00000000" w:rsidRPr="00000000" w14:paraId="0000006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C">
      <w:pPr>
        <w:spacing w:after="0" w:line="240" w:lineRule="auto"/>
        <w:jc w:val="both"/>
        <w:rPr>
          <w:sz w:val="24"/>
          <w:szCs w:val="24"/>
        </w:rPr>
      </w:pPr>
      <w:r w:rsidDel="00000000" w:rsidR="00000000" w:rsidRPr="00000000">
        <w:rPr>
          <w:color w:val="000000"/>
          <w:sz w:val="24"/>
          <w:szCs w:val="24"/>
          <w:rtl w:val="0"/>
        </w:rPr>
        <w:t xml:space="preserve">Physical impairment (these may be permanent or temporary) and possible arrangements: </w:t>
      </w:r>
      <w:r w:rsidDel="00000000" w:rsidR="00000000" w:rsidRPr="00000000">
        <w:rPr>
          <w:rtl w:val="0"/>
        </w:rPr>
      </w:r>
    </w:p>
    <w:p w:rsidR="00000000" w:rsidDel="00000000" w:rsidP="00000000" w:rsidRDefault="00000000" w:rsidRPr="00000000" w14:paraId="0000006D">
      <w:pPr>
        <w:numPr>
          <w:ilvl w:val="0"/>
          <w:numId w:val="5"/>
        </w:numPr>
        <w:spacing w:after="0" w:line="240" w:lineRule="auto"/>
        <w:ind w:left="720"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A reader / interpreter / amanuensis </w:t>
      </w:r>
    </w:p>
    <w:p w:rsidR="00000000" w:rsidDel="00000000" w:rsidP="00000000" w:rsidRDefault="00000000" w:rsidRPr="00000000" w14:paraId="0000006E">
      <w:pPr>
        <w:numPr>
          <w:ilvl w:val="0"/>
          <w:numId w:val="5"/>
        </w:numPr>
        <w:spacing w:after="0" w:line="240" w:lineRule="auto"/>
        <w:ind w:left="720"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Extra time allowance </w:t>
      </w:r>
    </w:p>
    <w:p w:rsidR="00000000" w:rsidDel="00000000" w:rsidP="00000000" w:rsidRDefault="00000000" w:rsidRPr="00000000" w14:paraId="0000006F">
      <w:pPr>
        <w:numPr>
          <w:ilvl w:val="0"/>
          <w:numId w:val="5"/>
        </w:numPr>
        <w:spacing w:after="0" w:line="240" w:lineRule="auto"/>
        <w:ind w:left="720"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Appropriate mechanical or electronic aids </w:t>
      </w:r>
    </w:p>
    <w:p w:rsidR="00000000" w:rsidDel="00000000" w:rsidP="00000000" w:rsidRDefault="00000000" w:rsidRPr="00000000" w14:paraId="0000007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71">
      <w:pPr>
        <w:spacing w:after="0" w:line="240" w:lineRule="auto"/>
        <w:jc w:val="both"/>
        <w:rPr>
          <w:sz w:val="24"/>
          <w:szCs w:val="24"/>
        </w:rPr>
      </w:pPr>
      <w:r w:rsidDel="00000000" w:rsidR="00000000" w:rsidRPr="00000000">
        <w:rPr>
          <w:color w:val="000000"/>
          <w:sz w:val="24"/>
          <w:szCs w:val="24"/>
          <w:rtl w:val="0"/>
        </w:rPr>
        <w:t xml:space="preserve">Learning difficulties (specific learning difficulties eg dyslexia) and possible arrangements: </w:t>
      </w:r>
      <w:r w:rsidDel="00000000" w:rsidR="00000000" w:rsidRPr="00000000">
        <w:rPr>
          <w:rtl w:val="0"/>
        </w:rPr>
      </w:r>
    </w:p>
    <w:p w:rsidR="00000000" w:rsidDel="00000000" w:rsidP="00000000" w:rsidRDefault="00000000" w:rsidRPr="00000000" w14:paraId="00000072">
      <w:pPr>
        <w:numPr>
          <w:ilvl w:val="0"/>
          <w:numId w:val="6"/>
        </w:numPr>
        <w:spacing w:after="0" w:line="240" w:lineRule="auto"/>
        <w:ind w:left="720"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Extra time allowance / extension </w:t>
      </w:r>
    </w:p>
    <w:p w:rsidR="00000000" w:rsidDel="00000000" w:rsidP="00000000" w:rsidRDefault="00000000" w:rsidRPr="00000000" w14:paraId="00000073">
      <w:pPr>
        <w:numPr>
          <w:ilvl w:val="0"/>
          <w:numId w:val="6"/>
        </w:numPr>
        <w:spacing w:after="0" w:line="240" w:lineRule="auto"/>
        <w:ind w:left="720"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Recording equipment </w:t>
      </w:r>
    </w:p>
    <w:p w:rsidR="00000000" w:rsidDel="00000000" w:rsidP="00000000" w:rsidRDefault="00000000" w:rsidRPr="00000000" w14:paraId="00000074">
      <w:pPr>
        <w:numPr>
          <w:ilvl w:val="0"/>
          <w:numId w:val="6"/>
        </w:numPr>
        <w:spacing w:after="0" w:line="240" w:lineRule="auto"/>
        <w:ind w:left="720"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An amanuensis and / or reader </w:t>
      </w:r>
    </w:p>
    <w:p w:rsidR="00000000" w:rsidDel="00000000" w:rsidP="00000000" w:rsidRDefault="00000000" w:rsidRPr="00000000" w14:paraId="00000075">
      <w:pPr>
        <w:numPr>
          <w:ilvl w:val="0"/>
          <w:numId w:val="6"/>
        </w:numPr>
        <w:spacing w:after="0" w:line="240" w:lineRule="auto"/>
        <w:ind w:left="720" w:hanging="360"/>
        <w:jc w:val="both"/>
        <w:rPr>
          <w:rFonts w:ascii="Calibri" w:cs="Calibri" w:eastAsia="Calibri" w:hAnsi="Calibri"/>
          <w:color w:val="000000"/>
          <w:sz w:val="24"/>
          <w:szCs w:val="24"/>
        </w:rPr>
      </w:pPr>
      <w:r w:rsidDel="00000000" w:rsidR="00000000" w:rsidRPr="00000000">
        <w:rPr>
          <w:color w:val="000000"/>
          <w:sz w:val="24"/>
          <w:szCs w:val="24"/>
          <w:rtl w:val="0"/>
        </w:rPr>
        <w:t xml:space="preserve">Appropriate audio visual aids </w:t>
      </w:r>
    </w:p>
    <w:p w:rsidR="00000000" w:rsidDel="00000000" w:rsidP="00000000" w:rsidRDefault="00000000" w:rsidRPr="00000000" w14:paraId="00000076">
      <w:pPr>
        <w:spacing w:after="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77">
      <w:pPr>
        <w:spacing w:after="0" w:line="240" w:lineRule="auto"/>
        <w:ind w:left="720" w:firstLine="0"/>
        <w:jc w:val="both"/>
        <w:rPr>
          <w:sz w:val="24"/>
          <w:szCs w:val="24"/>
        </w:rPr>
      </w:pPr>
      <w:r w:rsidDel="00000000" w:rsidR="00000000" w:rsidRPr="00000000">
        <w:rPr>
          <w:rtl w:val="0"/>
        </w:rPr>
      </w:r>
    </w:p>
    <w:tbl>
      <w:tblPr>
        <w:tblStyle w:val="Table1"/>
        <w:tblW w:w="98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5"/>
        <w:gridCol w:w="2430"/>
        <w:gridCol w:w="2070"/>
        <w:gridCol w:w="4095"/>
        <w:tblGridChange w:id="0">
          <w:tblGrid>
            <w:gridCol w:w="1245"/>
            <w:gridCol w:w="2430"/>
            <w:gridCol w:w="2070"/>
            <w:gridCol w:w="4095"/>
          </w:tblGrid>
        </w:tblGridChange>
      </w:tblGrid>
      <w:tr>
        <w:trPr>
          <w:cantSplit w:val="0"/>
          <w:trHeight w:val="56" w:hRule="atLeast"/>
          <w:tblHeader w:val="0"/>
        </w:trPr>
        <w:tc>
          <w:tcPr>
            <w:gridSpan w:val="4"/>
            <w:shd w:fill="d9d9d9" w:val="clear"/>
          </w:tcPr>
          <w:p w:rsidR="00000000" w:rsidDel="00000000" w:rsidP="00000000" w:rsidRDefault="00000000" w:rsidRPr="00000000" w14:paraId="00000078">
            <w:pPr>
              <w:jc w:val="center"/>
              <w:rPr>
                <w:b w:val="1"/>
                <w:sz w:val="24"/>
                <w:szCs w:val="24"/>
              </w:rPr>
            </w:pPr>
            <w:r w:rsidDel="00000000" w:rsidR="00000000" w:rsidRPr="00000000">
              <w:rPr>
                <w:b w:val="1"/>
                <w:sz w:val="24"/>
                <w:szCs w:val="24"/>
                <w:rtl w:val="0"/>
              </w:rPr>
              <w:t xml:space="preserve">Version control</w:t>
            </w:r>
          </w:p>
        </w:tc>
      </w:tr>
      <w:tr>
        <w:trPr>
          <w:cantSplit w:val="0"/>
          <w:tblHeader w:val="0"/>
        </w:trPr>
        <w:tc>
          <w:tcPr>
            <w:gridSpan w:val="2"/>
            <w:shd w:fill="d9d9d9" w:val="clear"/>
          </w:tcPr>
          <w:p w:rsidR="00000000" w:rsidDel="00000000" w:rsidP="00000000" w:rsidRDefault="00000000" w:rsidRPr="00000000" w14:paraId="0000007C">
            <w:pPr>
              <w:jc w:val="both"/>
              <w:rPr>
                <w:sz w:val="24"/>
                <w:szCs w:val="24"/>
              </w:rPr>
            </w:pPr>
            <w:r w:rsidDel="00000000" w:rsidR="00000000" w:rsidRPr="00000000">
              <w:rPr>
                <w:b w:val="1"/>
                <w:sz w:val="24"/>
                <w:szCs w:val="24"/>
                <w:rtl w:val="0"/>
              </w:rPr>
              <w:t xml:space="preserve">Last revision date: </w:t>
            </w:r>
            <w:r w:rsidDel="00000000" w:rsidR="00000000" w:rsidRPr="00000000">
              <w:rPr>
                <w:sz w:val="24"/>
                <w:szCs w:val="24"/>
                <w:rtl w:val="0"/>
              </w:rPr>
              <w:t xml:space="preserve">January 2025</w:t>
            </w:r>
          </w:p>
        </w:tc>
        <w:tc>
          <w:tcPr>
            <w:gridSpan w:val="2"/>
            <w:shd w:fill="d9d9d9" w:val="clear"/>
          </w:tcPr>
          <w:p w:rsidR="00000000" w:rsidDel="00000000" w:rsidP="00000000" w:rsidRDefault="00000000" w:rsidRPr="00000000" w14:paraId="0000007E">
            <w:pPr>
              <w:jc w:val="both"/>
              <w:rPr>
                <w:sz w:val="24"/>
                <w:szCs w:val="24"/>
              </w:rPr>
            </w:pPr>
            <w:r w:rsidDel="00000000" w:rsidR="00000000" w:rsidRPr="00000000">
              <w:rPr>
                <w:b w:val="1"/>
                <w:sz w:val="24"/>
                <w:szCs w:val="24"/>
                <w:rtl w:val="0"/>
              </w:rPr>
              <w:t xml:space="preserve">Next revision due: </w:t>
            </w:r>
            <w:r w:rsidDel="00000000" w:rsidR="00000000" w:rsidRPr="00000000">
              <w:rPr>
                <w:sz w:val="24"/>
                <w:szCs w:val="24"/>
                <w:rtl w:val="0"/>
              </w:rPr>
              <w:t xml:space="preserve">January 2026</w:t>
            </w:r>
          </w:p>
        </w:tc>
      </w:tr>
      <w:tr>
        <w:trPr>
          <w:cantSplit w:val="0"/>
          <w:trHeight w:val="243" w:hRule="atLeast"/>
          <w:tblHeader w:val="0"/>
        </w:trPr>
        <w:tc>
          <w:tcPr>
            <w:shd w:fill="d9d9d9" w:val="clear"/>
          </w:tcPr>
          <w:p w:rsidR="00000000" w:rsidDel="00000000" w:rsidP="00000000" w:rsidRDefault="00000000" w:rsidRPr="00000000" w14:paraId="00000080">
            <w:pPr>
              <w:jc w:val="both"/>
              <w:rPr>
                <w:b w:val="1"/>
                <w:sz w:val="24"/>
                <w:szCs w:val="24"/>
              </w:rPr>
            </w:pPr>
            <w:r w:rsidDel="00000000" w:rsidR="00000000" w:rsidRPr="00000000">
              <w:rPr>
                <w:b w:val="1"/>
                <w:sz w:val="24"/>
                <w:szCs w:val="24"/>
                <w:rtl w:val="0"/>
              </w:rPr>
              <w:t xml:space="preserve">Version</w:t>
            </w:r>
          </w:p>
        </w:tc>
        <w:tc>
          <w:tcPr>
            <w:shd w:fill="d9d9d9" w:val="clear"/>
          </w:tcPr>
          <w:p w:rsidR="00000000" w:rsidDel="00000000" w:rsidP="00000000" w:rsidRDefault="00000000" w:rsidRPr="00000000" w14:paraId="00000081">
            <w:pPr>
              <w:jc w:val="both"/>
              <w:rPr>
                <w:b w:val="1"/>
                <w:sz w:val="24"/>
                <w:szCs w:val="24"/>
              </w:rPr>
            </w:pPr>
            <w:r w:rsidDel="00000000" w:rsidR="00000000" w:rsidRPr="00000000">
              <w:rPr>
                <w:b w:val="1"/>
                <w:sz w:val="24"/>
                <w:szCs w:val="24"/>
                <w:rtl w:val="0"/>
              </w:rPr>
              <w:t xml:space="preserve">Revision date</w:t>
            </w:r>
          </w:p>
        </w:tc>
        <w:tc>
          <w:tcPr>
            <w:shd w:fill="d9d9d9" w:val="clear"/>
          </w:tcPr>
          <w:p w:rsidR="00000000" w:rsidDel="00000000" w:rsidP="00000000" w:rsidRDefault="00000000" w:rsidRPr="00000000" w14:paraId="00000082">
            <w:pPr>
              <w:jc w:val="both"/>
              <w:rPr>
                <w:b w:val="1"/>
                <w:sz w:val="24"/>
                <w:szCs w:val="24"/>
              </w:rPr>
            </w:pPr>
            <w:r w:rsidDel="00000000" w:rsidR="00000000" w:rsidRPr="00000000">
              <w:rPr>
                <w:b w:val="1"/>
                <w:sz w:val="24"/>
                <w:szCs w:val="24"/>
                <w:rtl w:val="0"/>
              </w:rPr>
              <w:t xml:space="preserve">Author </w:t>
            </w:r>
          </w:p>
        </w:tc>
        <w:tc>
          <w:tcPr>
            <w:shd w:fill="d9d9d9" w:val="clear"/>
          </w:tcPr>
          <w:p w:rsidR="00000000" w:rsidDel="00000000" w:rsidP="00000000" w:rsidRDefault="00000000" w:rsidRPr="00000000" w14:paraId="00000083">
            <w:pPr>
              <w:jc w:val="both"/>
              <w:rPr>
                <w:b w:val="1"/>
                <w:sz w:val="24"/>
                <w:szCs w:val="24"/>
              </w:rPr>
            </w:pPr>
            <w:r w:rsidDel="00000000" w:rsidR="00000000" w:rsidRPr="00000000">
              <w:rPr>
                <w:b w:val="1"/>
                <w:sz w:val="24"/>
                <w:szCs w:val="24"/>
                <w:rtl w:val="0"/>
              </w:rPr>
              <w:t xml:space="preserve">Notes</w:t>
            </w:r>
          </w:p>
        </w:tc>
      </w:tr>
      <w:tr>
        <w:trPr>
          <w:cantSplit w:val="0"/>
          <w:trHeight w:val="56" w:hRule="atLeast"/>
          <w:tblHeader w:val="0"/>
        </w:trPr>
        <w:tc>
          <w:tcPr>
            <w:shd w:fill="auto" w:val="clear"/>
          </w:tcPr>
          <w:p w:rsidR="00000000" w:rsidDel="00000000" w:rsidP="00000000" w:rsidRDefault="00000000" w:rsidRPr="00000000" w14:paraId="00000084">
            <w:pPr>
              <w:jc w:val="both"/>
              <w:rPr>
                <w:sz w:val="24"/>
                <w:szCs w:val="24"/>
              </w:rPr>
            </w:pPr>
            <w:r w:rsidDel="00000000" w:rsidR="00000000" w:rsidRPr="00000000">
              <w:rPr>
                <w:sz w:val="24"/>
                <w:szCs w:val="24"/>
                <w:rtl w:val="0"/>
              </w:rPr>
              <w:t xml:space="preserve">RAPV2025</w:t>
            </w:r>
          </w:p>
        </w:tc>
        <w:tc>
          <w:tcPr>
            <w:shd w:fill="auto" w:val="clear"/>
          </w:tcPr>
          <w:p w:rsidR="00000000" w:rsidDel="00000000" w:rsidP="00000000" w:rsidRDefault="00000000" w:rsidRPr="00000000" w14:paraId="00000085">
            <w:pPr>
              <w:jc w:val="both"/>
              <w:rPr>
                <w:sz w:val="24"/>
                <w:szCs w:val="24"/>
              </w:rPr>
            </w:pPr>
            <w:r w:rsidDel="00000000" w:rsidR="00000000" w:rsidRPr="00000000">
              <w:rPr>
                <w:sz w:val="24"/>
                <w:szCs w:val="24"/>
                <w:rtl w:val="0"/>
              </w:rPr>
              <w:t xml:space="preserve">7 January 2025</w:t>
            </w:r>
          </w:p>
        </w:tc>
        <w:tc>
          <w:tcPr>
            <w:shd w:fill="auto" w:val="clear"/>
          </w:tcPr>
          <w:p w:rsidR="00000000" w:rsidDel="00000000" w:rsidP="00000000" w:rsidRDefault="00000000" w:rsidRPr="00000000" w14:paraId="00000086">
            <w:pPr>
              <w:jc w:val="both"/>
              <w:rPr>
                <w:sz w:val="24"/>
                <w:szCs w:val="24"/>
              </w:rPr>
            </w:pPr>
            <w:r w:rsidDel="00000000" w:rsidR="00000000" w:rsidRPr="00000000">
              <w:rPr>
                <w:sz w:val="24"/>
                <w:szCs w:val="24"/>
                <w:rtl w:val="0"/>
              </w:rPr>
              <w:t xml:space="preserve">Iryna Hurkova</w:t>
            </w:r>
          </w:p>
        </w:tc>
        <w:tc>
          <w:tcPr>
            <w:shd w:fill="auto" w:val="clear"/>
          </w:tcPr>
          <w:p w:rsidR="00000000" w:rsidDel="00000000" w:rsidP="00000000" w:rsidRDefault="00000000" w:rsidRPr="00000000" w14:paraId="00000087">
            <w:pPr>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8">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89">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8A">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8B">
            <w:pPr>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C">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8D">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8E">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8F">
            <w:pPr>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0">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91">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92">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93">
            <w:pPr>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4">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95">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96">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97">
            <w:pPr>
              <w:jc w:val="both"/>
              <w:rPr>
                <w:sz w:val="24"/>
                <w:szCs w:val="24"/>
              </w:rPr>
            </w:pPr>
            <w:r w:rsidDel="00000000" w:rsidR="00000000" w:rsidRPr="00000000">
              <w:rPr>
                <w:rtl w:val="0"/>
              </w:rPr>
            </w:r>
          </w:p>
        </w:tc>
      </w:tr>
    </w:tbl>
    <w:p w:rsidR="00000000" w:rsidDel="00000000" w:rsidP="00000000" w:rsidRDefault="00000000" w:rsidRPr="00000000" w14:paraId="00000098">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99">
      <w:pPr>
        <w:spacing w:after="0" w:lineRule="auto"/>
        <w:jc w:val="both"/>
        <w:rPr>
          <w:b w:val="1"/>
          <w:sz w:val="24"/>
          <w:szCs w:val="24"/>
        </w:rPr>
      </w:pPr>
      <w:r w:rsidDel="00000000" w:rsidR="00000000" w:rsidRPr="00000000">
        <w:rPr>
          <w:rtl w:val="0"/>
        </w:rPr>
      </w:r>
    </w:p>
    <w:sectPr>
      <w:headerReference r:id="rId7" w:type="default"/>
      <w:headerReference r:id="rId8" w:type="first"/>
      <w:headerReference r:id="rId9" w:type="even"/>
      <w:footerReference r:id="rId10" w:type="default"/>
      <w:pgSz w:h="16839" w:w="11907" w:orient="portrait"/>
      <w:pgMar w:bottom="1440.0000000000002" w:top="1440.0000000000002" w:left="1440.0000000000002" w:right="1440.0000000000002" w:header="720" w:footer="163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-520699</wp:posOffset>
              </wp:positionH>
              <wp:positionV relativeFrom="paragraph">
                <wp:posOffset>241300</wp:posOffset>
              </wp:positionV>
              <wp:extent cx="7679055" cy="1031875"/>
              <wp:effectExtent b="0" l="0" r="0" t="0"/>
              <wp:wrapNone/>
              <wp:docPr id="24" name=""/>
              <a:graphic>
                <a:graphicData uri="http://schemas.microsoft.com/office/word/2010/wordprocessingShape">
                  <wps:wsp>
                    <wps:cNvSpPr/>
                    <wps:cNvPr id="2" name="Shape 2"/>
                    <wps:spPr>
                      <a:xfrm>
                        <a:off x="1525523" y="3283113"/>
                        <a:ext cx="7640955" cy="993775"/>
                      </a:xfrm>
                      <a:prstGeom prst="rect">
                        <a:avLst/>
                      </a:prstGeom>
                      <a:solidFill>
                        <a:srgbClr val="E3D3B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-520699</wp:posOffset>
              </wp:positionH>
              <wp:positionV relativeFrom="paragraph">
                <wp:posOffset>241300</wp:posOffset>
              </wp:positionV>
              <wp:extent cx="7679055" cy="1031875"/>
              <wp:effectExtent b="0" l="0" r="0" t="0"/>
              <wp:wrapNone/>
              <wp:docPr id="2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679055" cy="10318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179068</wp:posOffset>
          </wp:positionH>
          <wp:positionV relativeFrom="paragraph">
            <wp:posOffset>67069</wp:posOffset>
          </wp:positionV>
          <wp:extent cx="6169025" cy="1035685"/>
          <wp:effectExtent b="0" l="0" r="0" t="0"/>
          <wp:wrapNone/>
          <wp:docPr descr="Footer-Egypt-02" id="27" name="image2.jpg"/>
          <a:graphic>
            <a:graphicData uri="http://schemas.openxmlformats.org/drawingml/2006/picture">
              <pic:pic>
                <pic:nvPicPr>
                  <pic:cNvPr descr="Footer-Egypt-02" id="0" name="image2.jpg"/>
                  <pic:cNvPicPr preferRelativeResize="0"/>
                </pic:nvPicPr>
                <pic:blipFill>
                  <a:blip r:embed="rId2"/>
                  <a:srcRect b="0" l="0" r="0" t="0"/>
                  <a:stretch>
                    <a:fillRect/>
                  </a:stretch>
                </pic:blipFill>
                <pic:spPr>
                  <a:xfrm>
                    <a:off x="0" y="0"/>
                    <a:ext cx="6169025" cy="103568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3" style="position:absolute;width:508.15pt;height:499.85pt;rotation:0;z-index:-503316481;mso-position-horizontal-relative:margin;mso-position-horizontal:absolute;margin-left:4.19992125984252pt;mso-position-vertical-relative:margin;mso-position-vertical:absolute;margin-top:79.8pt;" alt="" type="#_x0000_t75">
          <v:imagedata cropbottom="0f" cropleft="5142f" cropright="2812f" croptop="0f" r:id="rId1" o:title="image3.jpg"/>
        </v:shape>
      </w:pic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-135974</wp:posOffset>
          </wp:positionH>
          <wp:positionV relativeFrom="paragraph">
            <wp:posOffset>0</wp:posOffset>
          </wp:positionV>
          <wp:extent cx="1849629" cy="1050925"/>
          <wp:effectExtent b="0" l="0" r="0" t="0"/>
          <wp:wrapNone/>
          <wp:docPr id="25" name="image1.jpg"/>
          <a:graphic>
            <a:graphicData uri="http://schemas.openxmlformats.org/drawingml/2006/picture">
              <pic:pic>
                <pic:nvPicPr>
                  <pic:cNvPr id="0" name="image1.jpg"/>
                  <pic:cNvPicPr preferRelativeResize="0"/>
                </pic:nvPicPr>
                <pic:blipFill>
                  <a:blip r:embed="rId2"/>
                  <a:srcRect b="61" l="5139" r="63138" t="21478"/>
                  <a:stretch>
                    <a:fillRect/>
                  </a:stretch>
                </pic:blipFill>
                <pic:spPr>
                  <a:xfrm>
                    <a:off x="0" y="0"/>
                    <a:ext cx="1849629" cy="105092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2360810</wp:posOffset>
          </wp:positionH>
          <wp:positionV relativeFrom="paragraph">
            <wp:posOffset>618008</wp:posOffset>
          </wp:positionV>
          <wp:extent cx="4086472" cy="536448"/>
          <wp:effectExtent b="0" l="0" r="0" t="0"/>
          <wp:wrapNone/>
          <wp:docPr id="26" name="image1.jpg"/>
          <a:graphic>
            <a:graphicData uri="http://schemas.openxmlformats.org/drawingml/2006/picture">
              <pic:pic>
                <pic:nvPicPr>
                  <pic:cNvPr id="0" name="image1.jpg"/>
                  <pic:cNvPicPr preferRelativeResize="0"/>
                </pic:nvPicPr>
                <pic:blipFill>
                  <a:blip r:embed="rId2"/>
                  <a:srcRect b="60" l="39835" r="8812" t="71857"/>
                  <a:stretch>
                    <a:fillRect/>
                  </a:stretch>
                </pic:blipFill>
                <pic:spPr>
                  <a:xfrm>
                    <a:off x="0" y="0"/>
                    <a:ext cx="4086472" cy="53644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595.2pt;height:344.15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595.2pt;height:344.15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rFonts w:ascii="Calibri" w:cs="Calibri" w:eastAsia="Calibri" w:hAnsi="Calibri"/>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B25C0"/>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37C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337C75"/>
  </w:style>
  <w:style w:type="paragraph" w:styleId="Footer">
    <w:name w:val="footer"/>
    <w:basedOn w:val="Normal"/>
    <w:link w:val="FooterChar"/>
    <w:uiPriority w:val="99"/>
    <w:unhideWhenUsed w:val="1"/>
    <w:rsid w:val="00337C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337C75"/>
  </w:style>
  <w:style w:type="paragraph" w:styleId="BalloonText">
    <w:name w:val="Balloon Text"/>
    <w:basedOn w:val="Normal"/>
    <w:link w:val="BalloonTextChar"/>
    <w:uiPriority w:val="99"/>
    <w:semiHidden w:val="1"/>
    <w:unhideWhenUsed w:val="1"/>
    <w:rsid w:val="00337C75"/>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337C75"/>
    <w:rPr>
      <w:rFonts w:ascii="Tahoma" w:cs="Tahoma" w:hAnsi="Tahoma"/>
      <w:sz w:val="16"/>
      <w:szCs w:val="16"/>
    </w:rPr>
  </w:style>
  <w:style w:type="table" w:styleId="TableGrid">
    <w:name w:val="Table Grid"/>
    <w:basedOn w:val="TableNormal"/>
    <w:uiPriority w:val="59"/>
    <w:rsid w:val="004F60A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59"/>
    <w:rsid w:val="00B33C21"/>
    <w:rPr>
      <w:rFonts w:eastAsia="Times New Roman"/>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F464C"/>
    <w:pPr>
      <w:ind w:left="720"/>
      <w:contextualSpacing w:val="1"/>
    </w:pPr>
  </w:style>
  <w:style w:type="paragraph" w:styleId="NormalWeb">
    <w:name w:val="Normal (Web)"/>
    <w:basedOn w:val="Normal"/>
    <w:uiPriority w:val="99"/>
    <w:semiHidden w:val="1"/>
    <w:unhideWhenUsed w:val="1"/>
    <w:rsid w:val="008740A6"/>
    <w:pPr>
      <w:spacing w:after="100" w:afterAutospacing="1" w:before="100" w:beforeAutospacing="1" w:line="240" w:lineRule="auto"/>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tJGn6tGV+a9n1k6MpYrsxZqwgg==">CgMxLjA4AHIhMWREeXAtVnFUUlpCUnZnYk9RY2JiOEtNZW0waldVTzd1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2021-07-02T09:44:00Z</dcterms:created>
  <dc:creator>Asmaa</dc:creator>
</cp:coreProperties>
</file>